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F19EC" w14:textId="77777777" w:rsidR="002D3ABA" w:rsidRPr="00763576" w:rsidRDefault="0032299D" w:rsidP="0032299D">
      <w:pPr>
        <w:ind w:firstLine="720"/>
        <w:rPr>
          <w:rFonts w:ascii="Arial" w:hAnsi="Arial" w:cs="Arial"/>
          <w:b/>
          <w:sz w:val="24"/>
          <w:szCs w:val="24"/>
        </w:rPr>
      </w:pPr>
      <w:r w:rsidRPr="00763576">
        <w:rPr>
          <w:rFonts w:ascii="Arial" w:hAnsi="Arial" w:cs="Arial"/>
          <w:b/>
          <w:sz w:val="24"/>
          <w:szCs w:val="24"/>
        </w:rPr>
        <w:t>Fire Hazard Assessment and Abatement on Woodlot Licence Harvest Areas</w:t>
      </w:r>
    </w:p>
    <w:p w14:paraId="0AD23AD2" w14:textId="60A52231" w:rsidR="005E1430" w:rsidRDefault="002E3424" w:rsidP="005E1430">
      <w:pPr>
        <w:rPr>
          <w:rFonts w:ascii="Arial" w:hAnsi="Arial" w:cs="Arial"/>
          <w:sz w:val="24"/>
          <w:szCs w:val="24"/>
        </w:rPr>
      </w:pPr>
      <w:r w:rsidRPr="00DB271E">
        <w:rPr>
          <w:rFonts w:ascii="Arial" w:hAnsi="Arial" w:cs="Arial"/>
          <w:sz w:val="24"/>
          <w:szCs w:val="24"/>
        </w:rPr>
        <w:t xml:space="preserve">Prompt </w:t>
      </w:r>
      <w:r w:rsidR="00922E7A">
        <w:rPr>
          <w:rFonts w:ascii="Arial" w:hAnsi="Arial" w:cs="Arial"/>
          <w:sz w:val="24"/>
          <w:szCs w:val="24"/>
        </w:rPr>
        <w:t xml:space="preserve">and effective </w:t>
      </w:r>
      <w:r w:rsidRPr="00DB271E">
        <w:rPr>
          <w:rFonts w:ascii="Arial" w:hAnsi="Arial" w:cs="Arial"/>
          <w:sz w:val="24"/>
          <w:szCs w:val="24"/>
        </w:rPr>
        <w:t>f</w:t>
      </w:r>
      <w:r w:rsidR="0032299D" w:rsidRPr="00DB271E">
        <w:rPr>
          <w:rFonts w:ascii="Arial" w:hAnsi="Arial" w:cs="Arial"/>
          <w:sz w:val="24"/>
          <w:szCs w:val="24"/>
        </w:rPr>
        <w:t xml:space="preserve">ire hazard abatement on </w:t>
      </w:r>
      <w:r w:rsidR="00177BC3">
        <w:rPr>
          <w:rFonts w:ascii="Arial" w:hAnsi="Arial" w:cs="Arial"/>
          <w:sz w:val="24"/>
          <w:szCs w:val="24"/>
        </w:rPr>
        <w:t xml:space="preserve">woodlot licence </w:t>
      </w:r>
      <w:r w:rsidR="0032299D" w:rsidRPr="00DB271E">
        <w:rPr>
          <w:rFonts w:ascii="Arial" w:hAnsi="Arial" w:cs="Arial"/>
          <w:sz w:val="24"/>
          <w:szCs w:val="24"/>
        </w:rPr>
        <w:t xml:space="preserve">harvest areas is </w:t>
      </w:r>
      <w:r w:rsidR="00E2332B">
        <w:rPr>
          <w:rFonts w:ascii="Arial" w:hAnsi="Arial" w:cs="Arial"/>
          <w:sz w:val="24"/>
          <w:szCs w:val="24"/>
        </w:rPr>
        <w:t>the one of the best measures</w:t>
      </w:r>
      <w:r w:rsidR="0032299D" w:rsidRPr="00DB271E">
        <w:rPr>
          <w:rFonts w:ascii="Arial" w:hAnsi="Arial" w:cs="Arial"/>
          <w:sz w:val="24"/>
          <w:szCs w:val="24"/>
        </w:rPr>
        <w:t xml:space="preserve"> </w:t>
      </w:r>
      <w:r w:rsidR="00E2332B">
        <w:rPr>
          <w:rFonts w:ascii="Arial" w:hAnsi="Arial" w:cs="Arial"/>
          <w:sz w:val="24"/>
          <w:szCs w:val="24"/>
        </w:rPr>
        <w:t>a licensee can take to</w:t>
      </w:r>
      <w:r w:rsidR="0032299D" w:rsidRPr="00DB271E">
        <w:rPr>
          <w:rFonts w:ascii="Arial" w:hAnsi="Arial" w:cs="Arial"/>
          <w:sz w:val="24"/>
          <w:szCs w:val="24"/>
        </w:rPr>
        <w:t xml:space="preserve"> </w:t>
      </w:r>
      <w:r w:rsidR="00032C05">
        <w:rPr>
          <w:rFonts w:ascii="Arial" w:hAnsi="Arial" w:cs="Arial"/>
          <w:sz w:val="24"/>
          <w:szCs w:val="24"/>
        </w:rPr>
        <w:t>minimiz</w:t>
      </w:r>
      <w:r w:rsidR="00E2332B">
        <w:rPr>
          <w:rFonts w:ascii="Arial" w:hAnsi="Arial" w:cs="Arial"/>
          <w:sz w:val="24"/>
          <w:szCs w:val="24"/>
        </w:rPr>
        <w:t>e</w:t>
      </w:r>
      <w:r w:rsidR="00032C05">
        <w:rPr>
          <w:rFonts w:ascii="Arial" w:hAnsi="Arial" w:cs="Arial"/>
          <w:sz w:val="24"/>
          <w:szCs w:val="24"/>
        </w:rPr>
        <w:t xml:space="preserve"> negative impacts from</w:t>
      </w:r>
      <w:r w:rsidR="0032299D" w:rsidRPr="00DB271E">
        <w:rPr>
          <w:rFonts w:ascii="Arial" w:hAnsi="Arial" w:cs="Arial"/>
          <w:sz w:val="24"/>
          <w:szCs w:val="24"/>
        </w:rPr>
        <w:t xml:space="preserve"> wildfires.  </w:t>
      </w:r>
      <w:r w:rsidR="005E1430" w:rsidRPr="00DB271E">
        <w:rPr>
          <w:rFonts w:ascii="Arial" w:hAnsi="Arial" w:cs="Arial"/>
          <w:sz w:val="24"/>
          <w:szCs w:val="24"/>
        </w:rPr>
        <w:t xml:space="preserve">The purpose of this </w:t>
      </w:r>
      <w:r w:rsidR="00CB6366">
        <w:rPr>
          <w:rFonts w:ascii="Arial" w:hAnsi="Arial" w:cs="Arial"/>
          <w:sz w:val="24"/>
          <w:szCs w:val="24"/>
        </w:rPr>
        <w:t xml:space="preserve">Woodlot Product Development Council </w:t>
      </w:r>
      <w:r w:rsidR="005E1430" w:rsidRPr="00DB271E">
        <w:rPr>
          <w:rFonts w:ascii="Arial" w:hAnsi="Arial" w:cs="Arial"/>
          <w:sz w:val="24"/>
          <w:szCs w:val="24"/>
        </w:rPr>
        <w:t xml:space="preserve">project </w:t>
      </w:r>
      <w:r w:rsidR="00D1389F">
        <w:rPr>
          <w:rFonts w:ascii="Arial" w:hAnsi="Arial" w:cs="Arial"/>
          <w:sz w:val="24"/>
          <w:szCs w:val="24"/>
        </w:rPr>
        <w:t>i</w:t>
      </w:r>
      <w:r w:rsidR="005E1430" w:rsidRPr="00DB271E">
        <w:rPr>
          <w:rFonts w:ascii="Arial" w:hAnsi="Arial" w:cs="Arial"/>
          <w:sz w:val="24"/>
          <w:szCs w:val="24"/>
        </w:rPr>
        <w:t xml:space="preserve">s to suggest </w:t>
      </w:r>
      <w:r w:rsidR="005E1430" w:rsidRPr="00D1389F">
        <w:rPr>
          <w:rFonts w:ascii="Arial" w:hAnsi="Arial" w:cs="Arial"/>
          <w:sz w:val="24"/>
          <w:szCs w:val="24"/>
        </w:rPr>
        <w:t>a</w:t>
      </w:r>
      <w:r w:rsidR="005E1430" w:rsidRPr="00DB271E">
        <w:rPr>
          <w:rFonts w:ascii="Arial" w:hAnsi="Arial" w:cs="Arial"/>
          <w:sz w:val="24"/>
          <w:szCs w:val="24"/>
        </w:rPr>
        <w:t xml:space="preserve"> simple</w:t>
      </w:r>
      <w:r w:rsidR="001B3786">
        <w:rPr>
          <w:rFonts w:ascii="Arial" w:hAnsi="Arial" w:cs="Arial"/>
          <w:sz w:val="24"/>
          <w:szCs w:val="24"/>
        </w:rPr>
        <w:t>,</w:t>
      </w:r>
      <w:r w:rsidR="005E1430" w:rsidRPr="00DB271E">
        <w:rPr>
          <w:rFonts w:ascii="Arial" w:hAnsi="Arial" w:cs="Arial"/>
          <w:sz w:val="24"/>
          <w:szCs w:val="24"/>
        </w:rPr>
        <w:t xml:space="preserve"> </w:t>
      </w:r>
      <w:r w:rsidR="00D1389F">
        <w:rPr>
          <w:rFonts w:ascii="Arial" w:hAnsi="Arial" w:cs="Arial"/>
          <w:sz w:val="24"/>
          <w:szCs w:val="24"/>
        </w:rPr>
        <w:t xml:space="preserve">efficient </w:t>
      </w:r>
      <w:r w:rsidR="005E1430" w:rsidRPr="00DB271E">
        <w:rPr>
          <w:rFonts w:ascii="Arial" w:hAnsi="Arial" w:cs="Arial"/>
          <w:sz w:val="24"/>
          <w:szCs w:val="24"/>
        </w:rPr>
        <w:t xml:space="preserve">format </w:t>
      </w:r>
      <w:r w:rsidR="005E1430">
        <w:rPr>
          <w:rFonts w:ascii="Arial" w:hAnsi="Arial" w:cs="Arial"/>
          <w:sz w:val="24"/>
          <w:szCs w:val="24"/>
        </w:rPr>
        <w:t xml:space="preserve">for preparing a fire hazard assessment </w:t>
      </w:r>
      <w:r w:rsidR="005E1430" w:rsidRPr="00DB271E">
        <w:rPr>
          <w:rFonts w:ascii="Arial" w:hAnsi="Arial" w:cs="Arial"/>
          <w:sz w:val="24"/>
          <w:szCs w:val="24"/>
        </w:rPr>
        <w:t xml:space="preserve">that </w:t>
      </w:r>
      <w:r w:rsidR="00CB6366" w:rsidRPr="007E1340">
        <w:rPr>
          <w:rFonts w:ascii="Arial" w:hAnsi="Arial" w:cs="Arial"/>
          <w:sz w:val="24"/>
          <w:szCs w:val="24"/>
        </w:rPr>
        <w:t>any woodlot licensee can use</w:t>
      </w:r>
      <w:r w:rsidR="00CB6366">
        <w:rPr>
          <w:rFonts w:ascii="Arial" w:hAnsi="Arial" w:cs="Arial"/>
          <w:sz w:val="24"/>
          <w:szCs w:val="24"/>
        </w:rPr>
        <w:t xml:space="preserve"> to </w:t>
      </w:r>
      <w:r w:rsidR="005E1430" w:rsidRPr="00DB271E">
        <w:rPr>
          <w:rFonts w:ascii="Arial" w:hAnsi="Arial" w:cs="Arial"/>
          <w:sz w:val="24"/>
          <w:szCs w:val="24"/>
        </w:rPr>
        <w:t xml:space="preserve">meet the </w:t>
      </w:r>
      <w:r w:rsidR="005E1430">
        <w:rPr>
          <w:rFonts w:ascii="Arial" w:hAnsi="Arial" w:cs="Arial"/>
          <w:sz w:val="24"/>
          <w:szCs w:val="24"/>
        </w:rPr>
        <w:t xml:space="preserve">legal </w:t>
      </w:r>
      <w:r w:rsidR="005E1430" w:rsidRPr="00DB271E">
        <w:rPr>
          <w:rFonts w:ascii="Arial" w:hAnsi="Arial" w:cs="Arial"/>
          <w:sz w:val="24"/>
          <w:szCs w:val="24"/>
        </w:rPr>
        <w:t xml:space="preserve">requirements </w:t>
      </w:r>
      <w:r w:rsidR="00CB6366">
        <w:rPr>
          <w:rFonts w:ascii="Arial" w:hAnsi="Arial" w:cs="Arial"/>
          <w:sz w:val="24"/>
          <w:szCs w:val="24"/>
        </w:rPr>
        <w:t xml:space="preserve">for completing fire hazard assessments </w:t>
      </w:r>
      <w:r w:rsidR="005E1430" w:rsidRPr="00DB271E">
        <w:rPr>
          <w:rFonts w:ascii="Arial" w:hAnsi="Arial" w:cs="Arial"/>
          <w:sz w:val="24"/>
          <w:szCs w:val="24"/>
        </w:rPr>
        <w:t xml:space="preserve">under the </w:t>
      </w:r>
      <w:r w:rsidR="005E1430" w:rsidRPr="001B2857">
        <w:rPr>
          <w:rFonts w:ascii="Arial" w:hAnsi="Arial" w:cs="Arial"/>
          <w:i/>
          <w:sz w:val="24"/>
          <w:szCs w:val="24"/>
        </w:rPr>
        <w:t>Wildfire Act</w:t>
      </w:r>
      <w:r w:rsidR="005E1430">
        <w:rPr>
          <w:rFonts w:ascii="Arial" w:hAnsi="Arial" w:cs="Arial"/>
          <w:sz w:val="24"/>
          <w:szCs w:val="24"/>
        </w:rPr>
        <w:t>.</w:t>
      </w:r>
      <w:r w:rsidR="005E1430" w:rsidRPr="00DB271E">
        <w:rPr>
          <w:rFonts w:ascii="Arial" w:hAnsi="Arial" w:cs="Arial"/>
          <w:sz w:val="24"/>
          <w:szCs w:val="24"/>
        </w:rPr>
        <w:t xml:space="preserve"> </w:t>
      </w:r>
    </w:p>
    <w:p w14:paraId="3E2733BA" w14:textId="49164ECD" w:rsidR="00B95C6D" w:rsidRDefault="00A94F60">
      <w:pPr>
        <w:rPr>
          <w:rFonts w:ascii="Arial" w:hAnsi="Arial" w:cs="Arial"/>
          <w:sz w:val="24"/>
          <w:szCs w:val="24"/>
        </w:rPr>
      </w:pPr>
      <w:r>
        <w:rPr>
          <w:rFonts w:ascii="Arial" w:hAnsi="Arial" w:cs="Arial"/>
          <w:sz w:val="24"/>
          <w:szCs w:val="24"/>
        </w:rPr>
        <w:t>The completion of a f</w:t>
      </w:r>
      <w:r w:rsidR="00AE69A7" w:rsidRPr="00DB271E">
        <w:rPr>
          <w:rFonts w:ascii="Arial" w:hAnsi="Arial" w:cs="Arial"/>
          <w:sz w:val="24"/>
          <w:szCs w:val="24"/>
        </w:rPr>
        <w:t>ire hazard assessment</w:t>
      </w:r>
      <w:r>
        <w:rPr>
          <w:rFonts w:ascii="Arial" w:hAnsi="Arial" w:cs="Arial"/>
          <w:sz w:val="24"/>
          <w:szCs w:val="24"/>
        </w:rPr>
        <w:t xml:space="preserve"> and fire hazard abatement are </w:t>
      </w:r>
      <w:r w:rsidR="0061003C">
        <w:rPr>
          <w:rFonts w:ascii="Arial" w:hAnsi="Arial" w:cs="Arial"/>
          <w:sz w:val="24"/>
          <w:szCs w:val="24"/>
        </w:rPr>
        <w:t xml:space="preserve">legally </w:t>
      </w:r>
      <w:r>
        <w:rPr>
          <w:rFonts w:ascii="Arial" w:hAnsi="Arial" w:cs="Arial"/>
          <w:sz w:val="24"/>
          <w:szCs w:val="24"/>
        </w:rPr>
        <w:t xml:space="preserve">required </w:t>
      </w:r>
      <w:r w:rsidR="00D1389F">
        <w:rPr>
          <w:rFonts w:ascii="Arial" w:hAnsi="Arial" w:cs="Arial"/>
          <w:sz w:val="24"/>
          <w:szCs w:val="24"/>
        </w:rPr>
        <w:t xml:space="preserve">under the </w:t>
      </w:r>
      <w:r w:rsidR="00D1389F" w:rsidRPr="00A750C2">
        <w:rPr>
          <w:rFonts w:ascii="Arial" w:hAnsi="Arial" w:cs="Arial"/>
          <w:i/>
          <w:sz w:val="24"/>
          <w:szCs w:val="24"/>
        </w:rPr>
        <w:t>Wildfire Act</w:t>
      </w:r>
      <w:r w:rsidR="00AE69A7" w:rsidRPr="00A750C2">
        <w:rPr>
          <w:rFonts w:ascii="Arial" w:hAnsi="Arial" w:cs="Arial"/>
          <w:i/>
          <w:sz w:val="24"/>
          <w:szCs w:val="24"/>
        </w:rPr>
        <w:t xml:space="preserve"> </w:t>
      </w:r>
      <w:r w:rsidR="00AE69A7" w:rsidRPr="00DB271E">
        <w:rPr>
          <w:rFonts w:ascii="Arial" w:hAnsi="Arial" w:cs="Arial"/>
          <w:sz w:val="24"/>
          <w:szCs w:val="24"/>
        </w:rPr>
        <w:t xml:space="preserve">when a woodlot licence holder carries out an activity, such as harvesting </w:t>
      </w:r>
      <w:r w:rsidR="00482372">
        <w:rPr>
          <w:rFonts w:ascii="Arial" w:hAnsi="Arial" w:cs="Arial"/>
          <w:sz w:val="24"/>
          <w:szCs w:val="24"/>
        </w:rPr>
        <w:t xml:space="preserve">a cutblock or road right of way </w:t>
      </w:r>
      <w:r w:rsidR="00AE69A7" w:rsidRPr="00DB271E">
        <w:rPr>
          <w:rFonts w:ascii="Arial" w:hAnsi="Arial" w:cs="Arial"/>
          <w:sz w:val="24"/>
          <w:szCs w:val="24"/>
        </w:rPr>
        <w:t xml:space="preserve">that creates </w:t>
      </w:r>
      <w:r w:rsidR="004A51BC">
        <w:rPr>
          <w:rFonts w:ascii="Arial" w:hAnsi="Arial" w:cs="Arial"/>
          <w:sz w:val="24"/>
          <w:szCs w:val="24"/>
        </w:rPr>
        <w:t xml:space="preserve">a fire hazard </w:t>
      </w:r>
      <w:r w:rsidR="00AE69A7" w:rsidRPr="00DB271E">
        <w:rPr>
          <w:rFonts w:ascii="Arial" w:hAnsi="Arial" w:cs="Arial"/>
          <w:sz w:val="24"/>
          <w:szCs w:val="24"/>
        </w:rPr>
        <w:t xml:space="preserve">or </w:t>
      </w:r>
      <w:r w:rsidR="00B95C6D">
        <w:rPr>
          <w:rFonts w:ascii="Arial" w:hAnsi="Arial" w:cs="Arial"/>
          <w:sz w:val="24"/>
          <w:szCs w:val="24"/>
        </w:rPr>
        <w:t>increases the</w:t>
      </w:r>
      <w:r w:rsidR="00AE69A7" w:rsidRPr="00DB271E">
        <w:rPr>
          <w:rFonts w:ascii="Arial" w:hAnsi="Arial" w:cs="Arial"/>
          <w:sz w:val="24"/>
          <w:szCs w:val="24"/>
        </w:rPr>
        <w:t xml:space="preserve"> fire hazard</w:t>
      </w:r>
      <w:r w:rsidR="00B95C6D">
        <w:rPr>
          <w:rFonts w:ascii="Arial" w:hAnsi="Arial" w:cs="Arial"/>
          <w:sz w:val="24"/>
          <w:szCs w:val="24"/>
        </w:rPr>
        <w:t xml:space="preserve"> on </w:t>
      </w:r>
      <w:r w:rsidR="00482372">
        <w:rPr>
          <w:rFonts w:ascii="Arial" w:hAnsi="Arial" w:cs="Arial"/>
          <w:sz w:val="24"/>
          <w:szCs w:val="24"/>
        </w:rPr>
        <w:t>the</w:t>
      </w:r>
      <w:r w:rsidR="00B95C6D">
        <w:rPr>
          <w:rFonts w:ascii="Arial" w:hAnsi="Arial" w:cs="Arial"/>
          <w:sz w:val="24"/>
          <w:szCs w:val="24"/>
        </w:rPr>
        <w:t xml:space="preserve"> area</w:t>
      </w:r>
      <w:r w:rsidR="00AE69A7" w:rsidRPr="00DB271E">
        <w:rPr>
          <w:rFonts w:ascii="Arial" w:hAnsi="Arial" w:cs="Arial"/>
          <w:sz w:val="24"/>
          <w:szCs w:val="24"/>
        </w:rPr>
        <w:t>.</w:t>
      </w:r>
      <w:r w:rsidR="00B95C6D">
        <w:rPr>
          <w:rFonts w:ascii="Arial" w:hAnsi="Arial" w:cs="Arial"/>
          <w:sz w:val="24"/>
          <w:szCs w:val="24"/>
        </w:rPr>
        <w:t xml:space="preserve"> </w:t>
      </w:r>
      <w:r w:rsidR="003801F7" w:rsidRPr="003801F7">
        <w:rPr>
          <w:rFonts w:ascii="Verdana" w:hAnsi="Verdana"/>
          <w:color w:val="000000"/>
          <w:shd w:val="clear" w:color="auto" w:fill="FFFFFF"/>
        </w:rPr>
        <w:t>Under section 11</w:t>
      </w:r>
      <w:r w:rsidR="001B1549">
        <w:rPr>
          <w:rFonts w:ascii="Verdana" w:hAnsi="Verdana"/>
          <w:color w:val="000000"/>
          <w:shd w:val="clear" w:color="auto" w:fill="FFFFFF"/>
        </w:rPr>
        <w:t xml:space="preserve">(4) </w:t>
      </w:r>
      <w:r w:rsidR="003801F7" w:rsidRPr="003801F7">
        <w:rPr>
          <w:rFonts w:ascii="Verdana" w:hAnsi="Verdana"/>
          <w:color w:val="000000"/>
          <w:shd w:val="clear" w:color="auto" w:fill="FFFFFF"/>
        </w:rPr>
        <w:t xml:space="preserve">of the Wildfire Regulation </w:t>
      </w:r>
      <w:r w:rsidR="003801F7" w:rsidRPr="00A556AF">
        <w:rPr>
          <w:rFonts w:ascii="Verdana" w:hAnsi="Verdana"/>
          <w:color w:val="000000"/>
          <w:shd w:val="clear" w:color="auto" w:fill="FFFFFF"/>
        </w:rPr>
        <w:t>t</w:t>
      </w:r>
      <w:r w:rsidR="00664F42" w:rsidRPr="00A556AF">
        <w:rPr>
          <w:rFonts w:ascii="Verdana" w:hAnsi="Verdana"/>
          <w:color w:val="000000"/>
          <w:shd w:val="clear" w:color="auto" w:fill="FFFFFF"/>
        </w:rPr>
        <w:t xml:space="preserve">he fire hazard assessment must include </w:t>
      </w:r>
      <w:r w:rsidR="00CB6366" w:rsidRPr="00A556AF">
        <w:rPr>
          <w:rFonts w:ascii="Verdana" w:hAnsi="Verdana"/>
          <w:color w:val="000000"/>
          <w:shd w:val="clear" w:color="auto" w:fill="FFFFFF"/>
        </w:rPr>
        <w:t>“</w:t>
      </w:r>
      <w:r w:rsidR="00664F42" w:rsidRPr="00664F42">
        <w:rPr>
          <w:rFonts w:ascii="Verdana" w:hAnsi="Verdana"/>
          <w:b/>
          <w:color w:val="000000"/>
          <w:shd w:val="clear" w:color="auto" w:fill="FFFFFF"/>
        </w:rPr>
        <w:t>an assessment of the fuel hazard and the associated risk of a fire starting or spreading</w:t>
      </w:r>
      <w:r w:rsidR="00CB6366" w:rsidRPr="00A556AF">
        <w:rPr>
          <w:rFonts w:ascii="Arial" w:hAnsi="Arial" w:cs="Arial"/>
          <w:b/>
          <w:sz w:val="24"/>
          <w:szCs w:val="24"/>
        </w:rPr>
        <w:t>…</w:t>
      </w:r>
      <w:r w:rsidR="008914AA">
        <w:rPr>
          <w:rFonts w:ascii="Arial" w:hAnsi="Arial" w:cs="Arial"/>
          <w:sz w:val="24"/>
          <w:szCs w:val="24"/>
        </w:rPr>
        <w:t>“</w:t>
      </w:r>
      <w:r w:rsidR="00CB6366">
        <w:rPr>
          <w:rFonts w:ascii="Arial" w:hAnsi="Arial" w:cs="Arial"/>
          <w:sz w:val="24"/>
          <w:szCs w:val="24"/>
        </w:rPr>
        <w:t>.</w:t>
      </w:r>
    </w:p>
    <w:p w14:paraId="00F82B35" w14:textId="385E6018" w:rsidR="005E1430" w:rsidRDefault="00D1389F" w:rsidP="00C938EC">
      <w:pPr>
        <w:rPr>
          <w:rFonts w:ascii="Arial" w:hAnsi="Arial" w:cs="Arial"/>
          <w:sz w:val="24"/>
          <w:szCs w:val="24"/>
        </w:rPr>
      </w:pPr>
      <w:r>
        <w:rPr>
          <w:rFonts w:ascii="Arial" w:hAnsi="Arial" w:cs="Arial"/>
          <w:sz w:val="24"/>
          <w:szCs w:val="24"/>
        </w:rPr>
        <w:t>When completing a fire hazard assessment m</w:t>
      </w:r>
      <w:r w:rsidR="004A51BC">
        <w:rPr>
          <w:rFonts w:ascii="Arial" w:hAnsi="Arial" w:cs="Arial"/>
          <w:sz w:val="24"/>
          <w:szCs w:val="24"/>
        </w:rPr>
        <w:t>any</w:t>
      </w:r>
      <w:r w:rsidR="00C938EC" w:rsidRPr="00BD2717">
        <w:rPr>
          <w:rFonts w:ascii="Arial" w:hAnsi="Arial" w:cs="Arial"/>
          <w:sz w:val="24"/>
          <w:szCs w:val="24"/>
        </w:rPr>
        <w:t xml:space="preserve"> </w:t>
      </w:r>
      <w:r w:rsidR="00C938EC">
        <w:rPr>
          <w:rFonts w:ascii="Arial" w:hAnsi="Arial" w:cs="Arial"/>
          <w:sz w:val="24"/>
          <w:szCs w:val="24"/>
        </w:rPr>
        <w:t xml:space="preserve">woodlot </w:t>
      </w:r>
      <w:r w:rsidR="00C938EC" w:rsidRPr="00BD2717">
        <w:rPr>
          <w:rFonts w:ascii="Arial" w:hAnsi="Arial" w:cs="Arial"/>
          <w:sz w:val="24"/>
          <w:szCs w:val="24"/>
        </w:rPr>
        <w:t xml:space="preserve">licensees are continuing to use </w:t>
      </w:r>
      <w:r>
        <w:rPr>
          <w:rFonts w:ascii="Arial" w:hAnsi="Arial" w:cs="Arial"/>
          <w:sz w:val="24"/>
          <w:szCs w:val="24"/>
        </w:rPr>
        <w:t xml:space="preserve">modified versions of </w:t>
      </w:r>
      <w:r w:rsidR="00C938EC">
        <w:rPr>
          <w:rFonts w:ascii="Arial" w:hAnsi="Arial" w:cs="Arial"/>
          <w:sz w:val="24"/>
          <w:szCs w:val="24"/>
        </w:rPr>
        <w:t>the</w:t>
      </w:r>
      <w:r w:rsidR="00C938EC" w:rsidRPr="00BD2717">
        <w:rPr>
          <w:rFonts w:ascii="Arial" w:hAnsi="Arial" w:cs="Arial"/>
          <w:sz w:val="24"/>
          <w:szCs w:val="24"/>
        </w:rPr>
        <w:t xml:space="preserve"> table from Schedule 7 of the repealed </w:t>
      </w:r>
      <w:r w:rsidR="001258F2">
        <w:rPr>
          <w:rFonts w:ascii="Arial" w:hAnsi="Arial" w:cs="Arial"/>
          <w:sz w:val="24"/>
          <w:szCs w:val="24"/>
        </w:rPr>
        <w:t xml:space="preserve">Forest </w:t>
      </w:r>
      <w:r w:rsidR="00C938EC" w:rsidRPr="00BD2717">
        <w:rPr>
          <w:rFonts w:ascii="Arial" w:hAnsi="Arial" w:cs="Arial"/>
          <w:sz w:val="24"/>
          <w:szCs w:val="24"/>
        </w:rPr>
        <w:t xml:space="preserve">Fire Prevention and Suppression Regulation under the Forest Practices Code to assess the </w:t>
      </w:r>
      <w:r w:rsidR="00C938EC" w:rsidRPr="00922E7A">
        <w:rPr>
          <w:rFonts w:ascii="Arial" w:hAnsi="Arial" w:cs="Arial"/>
          <w:b/>
          <w:sz w:val="24"/>
          <w:szCs w:val="24"/>
        </w:rPr>
        <w:t>f</w:t>
      </w:r>
      <w:r w:rsidR="00664F42" w:rsidRPr="00922E7A">
        <w:rPr>
          <w:rFonts w:ascii="Arial" w:hAnsi="Arial" w:cs="Arial"/>
          <w:b/>
          <w:sz w:val="24"/>
          <w:szCs w:val="24"/>
        </w:rPr>
        <w:t>uel</w:t>
      </w:r>
      <w:r w:rsidR="00C938EC" w:rsidRPr="00922E7A">
        <w:rPr>
          <w:rFonts w:ascii="Arial" w:hAnsi="Arial" w:cs="Arial"/>
          <w:b/>
          <w:sz w:val="24"/>
          <w:szCs w:val="24"/>
        </w:rPr>
        <w:t xml:space="preserve"> hazard</w:t>
      </w:r>
      <w:r w:rsidR="00C938EC" w:rsidRPr="00BD2717">
        <w:rPr>
          <w:rFonts w:ascii="Arial" w:hAnsi="Arial" w:cs="Arial"/>
          <w:sz w:val="24"/>
          <w:szCs w:val="24"/>
        </w:rPr>
        <w:t xml:space="preserve"> associated with dispersed slash on harvested areas.  The Forest Practices Board</w:t>
      </w:r>
      <w:r w:rsidR="00C938EC" w:rsidRPr="00B530D7">
        <w:rPr>
          <w:rFonts w:ascii="Arial" w:hAnsi="Arial" w:cs="Arial"/>
          <w:sz w:val="24"/>
          <w:szCs w:val="24"/>
          <w:vertAlign w:val="superscript"/>
        </w:rPr>
        <w:t xml:space="preserve"> </w:t>
      </w:r>
      <w:r w:rsidR="00C938EC" w:rsidRPr="00047EF4">
        <w:rPr>
          <w:rFonts w:ascii="Arial" w:hAnsi="Arial" w:cs="Arial"/>
          <w:sz w:val="24"/>
          <w:szCs w:val="24"/>
        </w:rPr>
        <w:t>and BC Timber Sales</w:t>
      </w:r>
      <w:r w:rsidR="00C938EC">
        <w:rPr>
          <w:rFonts w:ascii="Arial" w:hAnsi="Arial" w:cs="Arial"/>
          <w:sz w:val="24"/>
          <w:szCs w:val="24"/>
          <w:vertAlign w:val="superscript"/>
        </w:rPr>
        <w:t xml:space="preserve"> </w:t>
      </w:r>
      <w:r w:rsidR="00C938EC" w:rsidRPr="00BD2717">
        <w:rPr>
          <w:rFonts w:ascii="Arial" w:hAnsi="Arial" w:cs="Arial"/>
          <w:sz w:val="24"/>
          <w:szCs w:val="24"/>
        </w:rPr>
        <w:t>ha</w:t>
      </w:r>
      <w:r w:rsidR="00C938EC">
        <w:rPr>
          <w:rFonts w:ascii="Arial" w:hAnsi="Arial" w:cs="Arial"/>
          <w:sz w:val="24"/>
          <w:szCs w:val="24"/>
        </w:rPr>
        <w:t>ve</w:t>
      </w:r>
      <w:r w:rsidR="00C938EC" w:rsidRPr="00BD2717">
        <w:rPr>
          <w:rFonts w:ascii="Arial" w:hAnsi="Arial" w:cs="Arial"/>
          <w:sz w:val="24"/>
          <w:szCs w:val="24"/>
        </w:rPr>
        <w:t xml:space="preserve"> indicated th</w:t>
      </w:r>
      <w:r w:rsidR="00816BC7">
        <w:rPr>
          <w:rFonts w:ascii="Arial" w:hAnsi="Arial" w:cs="Arial"/>
          <w:sz w:val="24"/>
          <w:szCs w:val="24"/>
        </w:rPr>
        <w:t xml:space="preserve">ey believe </w:t>
      </w:r>
      <w:r w:rsidR="004A51BC">
        <w:rPr>
          <w:rFonts w:ascii="Arial" w:hAnsi="Arial" w:cs="Arial"/>
          <w:sz w:val="24"/>
          <w:szCs w:val="24"/>
        </w:rPr>
        <w:t xml:space="preserve">this </w:t>
      </w:r>
      <w:r w:rsidR="004A51BC" w:rsidRPr="00BD2717">
        <w:rPr>
          <w:rFonts w:ascii="Arial" w:hAnsi="Arial" w:cs="Arial"/>
          <w:sz w:val="24"/>
          <w:szCs w:val="24"/>
        </w:rPr>
        <w:t>is</w:t>
      </w:r>
      <w:r w:rsidR="00C938EC" w:rsidRPr="00BD2717">
        <w:rPr>
          <w:rFonts w:ascii="Arial" w:hAnsi="Arial" w:cs="Arial"/>
          <w:sz w:val="24"/>
          <w:szCs w:val="24"/>
        </w:rPr>
        <w:t xml:space="preserve"> acceptable methodology for </w:t>
      </w:r>
      <w:r w:rsidR="00C938EC">
        <w:rPr>
          <w:rFonts w:ascii="Arial" w:hAnsi="Arial" w:cs="Arial"/>
          <w:sz w:val="24"/>
          <w:szCs w:val="24"/>
        </w:rPr>
        <w:t xml:space="preserve">completing a </w:t>
      </w:r>
      <w:r w:rsidR="00C938EC" w:rsidRPr="00BD2717">
        <w:rPr>
          <w:rFonts w:ascii="Arial" w:hAnsi="Arial" w:cs="Arial"/>
          <w:sz w:val="24"/>
          <w:szCs w:val="24"/>
        </w:rPr>
        <w:t>f</w:t>
      </w:r>
      <w:r w:rsidR="00C938EC">
        <w:rPr>
          <w:rFonts w:ascii="Arial" w:hAnsi="Arial" w:cs="Arial"/>
          <w:sz w:val="24"/>
          <w:szCs w:val="24"/>
        </w:rPr>
        <w:t xml:space="preserve">ire </w:t>
      </w:r>
      <w:r w:rsidR="00C938EC" w:rsidRPr="00BD2717">
        <w:rPr>
          <w:rFonts w:ascii="Arial" w:hAnsi="Arial" w:cs="Arial"/>
          <w:sz w:val="24"/>
          <w:szCs w:val="24"/>
        </w:rPr>
        <w:t>hazard</w:t>
      </w:r>
      <w:r w:rsidR="00C938EC">
        <w:rPr>
          <w:rFonts w:ascii="Arial" w:hAnsi="Arial" w:cs="Arial"/>
          <w:sz w:val="24"/>
          <w:szCs w:val="24"/>
        </w:rPr>
        <w:t xml:space="preserve"> assessment</w:t>
      </w:r>
      <w:r w:rsidR="00E2332B">
        <w:rPr>
          <w:rFonts w:ascii="Arial" w:hAnsi="Arial" w:cs="Arial"/>
          <w:sz w:val="24"/>
          <w:szCs w:val="24"/>
        </w:rPr>
        <w:t xml:space="preserve"> of </w:t>
      </w:r>
      <w:r>
        <w:rPr>
          <w:rFonts w:ascii="Arial" w:hAnsi="Arial" w:cs="Arial"/>
          <w:sz w:val="24"/>
          <w:szCs w:val="24"/>
        </w:rPr>
        <w:t xml:space="preserve">the </w:t>
      </w:r>
      <w:r w:rsidR="00E2332B">
        <w:rPr>
          <w:rFonts w:ascii="Arial" w:hAnsi="Arial" w:cs="Arial"/>
          <w:sz w:val="24"/>
          <w:szCs w:val="24"/>
        </w:rPr>
        <w:t>dispersed fuels on harvest area</w:t>
      </w:r>
      <w:r w:rsidR="008914AA">
        <w:rPr>
          <w:rFonts w:ascii="Arial" w:hAnsi="Arial" w:cs="Arial"/>
          <w:sz w:val="24"/>
          <w:szCs w:val="24"/>
        </w:rPr>
        <w:t>s</w:t>
      </w:r>
      <w:r w:rsidR="00C938EC" w:rsidRPr="00BD2717">
        <w:rPr>
          <w:rFonts w:ascii="Arial" w:hAnsi="Arial" w:cs="Arial"/>
          <w:sz w:val="24"/>
          <w:szCs w:val="24"/>
        </w:rPr>
        <w:t xml:space="preserve">.  </w:t>
      </w:r>
      <w:r w:rsidR="00A750C2">
        <w:rPr>
          <w:rFonts w:ascii="Arial" w:hAnsi="Arial" w:cs="Arial"/>
          <w:sz w:val="24"/>
          <w:szCs w:val="24"/>
        </w:rPr>
        <w:t xml:space="preserve">The table from Schedule 7 </w:t>
      </w:r>
      <w:r w:rsidR="00F92590">
        <w:rPr>
          <w:rFonts w:ascii="Arial" w:hAnsi="Arial" w:cs="Arial"/>
          <w:sz w:val="24"/>
          <w:szCs w:val="24"/>
        </w:rPr>
        <w:t>(</w:t>
      </w:r>
      <w:r w:rsidR="00A750C2">
        <w:rPr>
          <w:rFonts w:ascii="Arial" w:hAnsi="Arial" w:cs="Arial"/>
          <w:sz w:val="24"/>
          <w:szCs w:val="24"/>
        </w:rPr>
        <w:t>below</w:t>
      </w:r>
      <w:r w:rsidR="00F92590">
        <w:rPr>
          <w:rFonts w:ascii="Arial" w:hAnsi="Arial" w:cs="Arial"/>
          <w:sz w:val="24"/>
          <w:szCs w:val="24"/>
        </w:rPr>
        <w:t>)</w:t>
      </w:r>
      <w:r w:rsidR="00A750C2">
        <w:rPr>
          <w:rFonts w:ascii="Arial" w:hAnsi="Arial" w:cs="Arial"/>
          <w:sz w:val="24"/>
          <w:szCs w:val="24"/>
        </w:rPr>
        <w:t xml:space="preserve"> assigns point values for 6 characteristics of the dispersed fuel to determine a “F</w:t>
      </w:r>
      <w:r w:rsidR="00664F42">
        <w:rPr>
          <w:rFonts w:ascii="Arial" w:hAnsi="Arial" w:cs="Arial"/>
          <w:sz w:val="24"/>
          <w:szCs w:val="24"/>
        </w:rPr>
        <w:t>uel</w:t>
      </w:r>
      <w:r w:rsidR="00A750C2">
        <w:rPr>
          <w:rFonts w:ascii="Arial" w:hAnsi="Arial" w:cs="Arial"/>
          <w:sz w:val="24"/>
          <w:szCs w:val="24"/>
        </w:rPr>
        <w:t xml:space="preserve"> Hazard Rating</w:t>
      </w:r>
      <w:r w:rsidR="00664F42">
        <w:rPr>
          <w:rFonts w:ascii="Arial" w:hAnsi="Arial" w:cs="Arial"/>
          <w:sz w:val="24"/>
          <w:szCs w:val="24"/>
        </w:rPr>
        <w:t>”</w:t>
      </w:r>
      <w:r w:rsidR="00A750C2">
        <w:rPr>
          <w:rFonts w:ascii="Arial" w:hAnsi="Arial" w:cs="Arial"/>
          <w:sz w:val="24"/>
          <w:szCs w:val="24"/>
        </w:rPr>
        <w:t xml:space="preserve"> for the dispersed fuel.  If the “F</w:t>
      </w:r>
      <w:r w:rsidR="00664F42">
        <w:rPr>
          <w:rFonts w:ascii="Arial" w:hAnsi="Arial" w:cs="Arial"/>
          <w:sz w:val="24"/>
          <w:szCs w:val="24"/>
        </w:rPr>
        <w:t>u</w:t>
      </w:r>
      <w:r w:rsidR="00A750C2">
        <w:rPr>
          <w:rFonts w:ascii="Arial" w:hAnsi="Arial" w:cs="Arial"/>
          <w:sz w:val="24"/>
          <w:szCs w:val="24"/>
        </w:rPr>
        <w:t>e</w:t>
      </w:r>
      <w:r w:rsidR="00664F42">
        <w:rPr>
          <w:rFonts w:ascii="Arial" w:hAnsi="Arial" w:cs="Arial"/>
          <w:sz w:val="24"/>
          <w:szCs w:val="24"/>
        </w:rPr>
        <w:t>l</w:t>
      </w:r>
      <w:r w:rsidR="00A750C2">
        <w:rPr>
          <w:rFonts w:ascii="Arial" w:hAnsi="Arial" w:cs="Arial"/>
          <w:sz w:val="24"/>
          <w:szCs w:val="24"/>
        </w:rPr>
        <w:t xml:space="preserve"> Hazard Rating</w:t>
      </w:r>
      <w:r w:rsidR="00C9546C">
        <w:rPr>
          <w:rFonts w:ascii="Arial" w:hAnsi="Arial" w:cs="Arial"/>
          <w:sz w:val="24"/>
          <w:szCs w:val="24"/>
        </w:rPr>
        <w:t>”</w:t>
      </w:r>
      <w:r w:rsidR="00A750C2">
        <w:rPr>
          <w:rFonts w:ascii="Arial" w:hAnsi="Arial" w:cs="Arial"/>
          <w:sz w:val="24"/>
          <w:szCs w:val="24"/>
        </w:rPr>
        <w:t xml:space="preserve"> for the dispersed fuel </w:t>
      </w:r>
      <w:r w:rsidR="00E45C92" w:rsidRPr="00835C0A">
        <w:rPr>
          <w:rFonts w:ascii="Arial" w:hAnsi="Arial" w:cs="Arial"/>
          <w:sz w:val="24"/>
          <w:szCs w:val="24"/>
        </w:rPr>
        <w:t>exceed</w:t>
      </w:r>
      <w:r w:rsidR="00A750C2" w:rsidRPr="00835C0A">
        <w:rPr>
          <w:rFonts w:ascii="Arial" w:hAnsi="Arial" w:cs="Arial"/>
          <w:sz w:val="24"/>
          <w:szCs w:val="24"/>
        </w:rPr>
        <w:t xml:space="preserve">s 14 </w:t>
      </w:r>
      <w:r w:rsidR="00644E99" w:rsidRPr="00835C0A">
        <w:rPr>
          <w:rFonts w:ascii="Arial" w:hAnsi="Arial" w:cs="Arial"/>
          <w:sz w:val="24"/>
          <w:szCs w:val="24"/>
        </w:rPr>
        <w:t>points</w:t>
      </w:r>
      <w:r w:rsidR="00644E99">
        <w:rPr>
          <w:rFonts w:ascii="Arial" w:hAnsi="Arial" w:cs="Arial"/>
          <w:sz w:val="24"/>
          <w:szCs w:val="24"/>
        </w:rPr>
        <w:t xml:space="preserve"> then</w:t>
      </w:r>
      <w:r w:rsidR="00A750C2">
        <w:rPr>
          <w:rFonts w:ascii="Arial" w:hAnsi="Arial" w:cs="Arial"/>
          <w:sz w:val="24"/>
          <w:szCs w:val="24"/>
        </w:rPr>
        <w:t xml:space="preserve"> fire hazard abatement </w:t>
      </w:r>
      <w:r w:rsidR="00F92590">
        <w:rPr>
          <w:rFonts w:ascii="Arial" w:hAnsi="Arial" w:cs="Arial"/>
          <w:sz w:val="24"/>
          <w:szCs w:val="24"/>
        </w:rPr>
        <w:t>treatments should be described in the fire hazard assessment</w:t>
      </w:r>
      <w:r w:rsidR="00E45C92">
        <w:rPr>
          <w:rFonts w:ascii="Arial" w:hAnsi="Arial" w:cs="Arial"/>
          <w:sz w:val="24"/>
          <w:szCs w:val="24"/>
        </w:rPr>
        <w:t xml:space="preserve"> to reduce the</w:t>
      </w:r>
      <w:r w:rsidR="00E45C92" w:rsidRPr="00E45C92">
        <w:rPr>
          <w:rFonts w:ascii="Arial" w:hAnsi="Arial" w:cs="Arial"/>
          <w:sz w:val="24"/>
          <w:szCs w:val="24"/>
        </w:rPr>
        <w:t xml:space="preserve"> </w:t>
      </w:r>
      <w:r w:rsidR="00E45C92">
        <w:rPr>
          <w:rFonts w:ascii="Arial" w:hAnsi="Arial" w:cs="Arial"/>
          <w:sz w:val="24"/>
          <w:szCs w:val="24"/>
        </w:rPr>
        <w:t>F</w:t>
      </w:r>
      <w:r w:rsidR="00664F42">
        <w:rPr>
          <w:rFonts w:ascii="Arial" w:hAnsi="Arial" w:cs="Arial"/>
          <w:sz w:val="24"/>
          <w:szCs w:val="24"/>
        </w:rPr>
        <w:t>uel</w:t>
      </w:r>
      <w:r w:rsidR="00E45C92">
        <w:rPr>
          <w:rFonts w:ascii="Arial" w:hAnsi="Arial" w:cs="Arial"/>
          <w:sz w:val="24"/>
          <w:szCs w:val="24"/>
        </w:rPr>
        <w:t xml:space="preserve"> Hazard Rating to 14 </w:t>
      </w:r>
      <w:r w:rsidR="008914AA">
        <w:rPr>
          <w:rFonts w:ascii="Arial" w:hAnsi="Arial" w:cs="Arial"/>
          <w:sz w:val="24"/>
          <w:szCs w:val="24"/>
        </w:rPr>
        <w:t>points</w:t>
      </w:r>
      <w:r w:rsidR="001258F2">
        <w:rPr>
          <w:rFonts w:ascii="Arial" w:hAnsi="Arial" w:cs="Arial"/>
          <w:sz w:val="24"/>
          <w:szCs w:val="24"/>
        </w:rPr>
        <w:t>,</w:t>
      </w:r>
      <w:r w:rsidR="008914AA">
        <w:rPr>
          <w:rFonts w:ascii="Arial" w:hAnsi="Arial" w:cs="Arial"/>
          <w:sz w:val="24"/>
          <w:szCs w:val="24"/>
        </w:rPr>
        <w:t xml:space="preserve"> </w:t>
      </w:r>
      <w:r w:rsidR="00E45C92">
        <w:rPr>
          <w:rFonts w:ascii="Arial" w:hAnsi="Arial" w:cs="Arial"/>
          <w:sz w:val="24"/>
          <w:szCs w:val="24"/>
        </w:rPr>
        <w:t xml:space="preserve">or </w:t>
      </w:r>
      <w:r w:rsidR="006833DF">
        <w:rPr>
          <w:rFonts w:ascii="Arial" w:hAnsi="Arial" w:cs="Arial"/>
          <w:sz w:val="24"/>
          <w:szCs w:val="24"/>
        </w:rPr>
        <w:t xml:space="preserve">preferably </w:t>
      </w:r>
      <w:r w:rsidR="00644E99">
        <w:rPr>
          <w:rFonts w:ascii="Arial" w:hAnsi="Arial" w:cs="Arial"/>
          <w:sz w:val="24"/>
          <w:szCs w:val="24"/>
        </w:rPr>
        <w:t>low</w:t>
      </w:r>
      <w:r w:rsidR="008914AA">
        <w:rPr>
          <w:rFonts w:ascii="Arial" w:hAnsi="Arial" w:cs="Arial"/>
          <w:sz w:val="24"/>
          <w:szCs w:val="24"/>
        </w:rPr>
        <w:t>er</w:t>
      </w:r>
      <w:r w:rsidR="00644E99">
        <w:rPr>
          <w:rFonts w:ascii="Arial" w:hAnsi="Arial" w:cs="Arial"/>
          <w:sz w:val="24"/>
          <w:szCs w:val="24"/>
        </w:rPr>
        <w:t>.</w:t>
      </w:r>
    </w:p>
    <w:p w14:paraId="4B9E526A" w14:textId="5901A9C8" w:rsidR="00B80B27" w:rsidRDefault="00C938EC" w:rsidP="00C938EC">
      <w:pPr>
        <w:rPr>
          <w:rFonts w:ascii="Arial" w:hAnsi="Arial" w:cs="Arial"/>
          <w:sz w:val="24"/>
          <w:szCs w:val="24"/>
        </w:rPr>
      </w:pPr>
      <w:r w:rsidRPr="00BD2717">
        <w:rPr>
          <w:rFonts w:ascii="Arial" w:hAnsi="Arial" w:cs="Arial"/>
          <w:sz w:val="24"/>
          <w:szCs w:val="24"/>
        </w:rPr>
        <w:t xml:space="preserve">The table from Schedule 7 </w:t>
      </w:r>
      <w:r w:rsidR="001258F2">
        <w:rPr>
          <w:rFonts w:ascii="Arial" w:hAnsi="Arial" w:cs="Arial"/>
          <w:sz w:val="24"/>
          <w:szCs w:val="24"/>
        </w:rPr>
        <w:t>wa</w:t>
      </w:r>
      <w:r w:rsidRPr="00BD2717">
        <w:rPr>
          <w:rFonts w:ascii="Arial" w:hAnsi="Arial" w:cs="Arial"/>
          <w:sz w:val="24"/>
          <w:szCs w:val="24"/>
        </w:rPr>
        <w:t xml:space="preserve">s not </w:t>
      </w:r>
      <w:r w:rsidR="001258F2">
        <w:rPr>
          <w:rFonts w:ascii="Arial" w:hAnsi="Arial" w:cs="Arial"/>
          <w:sz w:val="24"/>
          <w:szCs w:val="24"/>
        </w:rPr>
        <w:t xml:space="preserve">designed to </w:t>
      </w:r>
      <w:r w:rsidRPr="00BD2717">
        <w:rPr>
          <w:rFonts w:ascii="Arial" w:hAnsi="Arial" w:cs="Arial"/>
          <w:sz w:val="24"/>
          <w:szCs w:val="24"/>
        </w:rPr>
        <w:t xml:space="preserve">assess the fire hazard associated with </w:t>
      </w:r>
      <w:r>
        <w:rPr>
          <w:rFonts w:ascii="Arial" w:hAnsi="Arial" w:cs="Arial"/>
          <w:sz w:val="24"/>
          <w:szCs w:val="24"/>
        </w:rPr>
        <w:t xml:space="preserve">piled </w:t>
      </w:r>
      <w:r w:rsidR="005E1430">
        <w:rPr>
          <w:rFonts w:ascii="Arial" w:hAnsi="Arial" w:cs="Arial"/>
          <w:sz w:val="24"/>
          <w:szCs w:val="24"/>
        </w:rPr>
        <w:t xml:space="preserve">or concentrated </w:t>
      </w:r>
      <w:r w:rsidR="00F92590">
        <w:rPr>
          <w:rFonts w:ascii="Arial" w:hAnsi="Arial" w:cs="Arial"/>
          <w:sz w:val="24"/>
          <w:szCs w:val="24"/>
        </w:rPr>
        <w:t xml:space="preserve">harvesting </w:t>
      </w:r>
      <w:r w:rsidRPr="00BD2717">
        <w:rPr>
          <w:rFonts w:ascii="Arial" w:hAnsi="Arial" w:cs="Arial"/>
          <w:sz w:val="24"/>
          <w:szCs w:val="24"/>
        </w:rPr>
        <w:t xml:space="preserve">slash accumulations at roadsides or </w:t>
      </w:r>
      <w:r w:rsidRPr="00A97CC2">
        <w:rPr>
          <w:rFonts w:ascii="Arial" w:hAnsi="Arial" w:cs="Arial"/>
          <w:sz w:val="24"/>
          <w:szCs w:val="24"/>
        </w:rPr>
        <w:t>landings</w:t>
      </w:r>
      <w:r w:rsidR="008E046A">
        <w:rPr>
          <w:rFonts w:ascii="Arial" w:hAnsi="Arial" w:cs="Arial"/>
          <w:sz w:val="24"/>
          <w:szCs w:val="24"/>
        </w:rPr>
        <w:t>.</w:t>
      </w:r>
      <w:r w:rsidR="00AF66E6">
        <w:rPr>
          <w:rFonts w:ascii="Arial" w:hAnsi="Arial" w:cs="Arial"/>
          <w:sz w:val="24"/>
          <w:szCs w:val="24"/>
        </w:rPr>
        <w:t xml:space="preserve"> </w:t>
      </w:r>
      <w:r w:rsidR="00A70651">
        <w:rPr>
          <w:rFonts w:ascii="Arial" w:hAnsi="Arial" w:cs="Arial"/>
          <w:sz w:val="24"/>
          <w:szCs w:val="24"/>
        </w:rPr>
        <w:t>Therefore the</w:t>
      </w:r>
      <w:r w:rsidRPr="00A97CC2">
        <w:rPr>
          <w:rFonts w:ascii="Arial" w:hAnsi="Arial" w:cs="Arial"/>
          <w:sz w:val="24"/>
          <w:szCs w:val="24"/>
        </w:rPr>
        <w:t xml:space="preserve"> fire hazard assessment must document </w:t>
      </w:r>
      <w:r w:rsidR="00A70651">
        <w:rPr>
          <w:rFonts w:ascii="Arial" w:hAnsi="Arial" w:cs="Arial"/>
          <w:sz w:val="24"/>
          <w:szCs w:val="24"/>
        </w:rPr>
        <w:t>i</w:t>
      </w:r>
      <w:r w:rsidR="008E046A">
        <w:rPr>
          <w:rFonts w:ascii="Arial" w:hAnsi="Arial" w:cs="Arial"/>
          <w:sz w:val="24"/>
          <w:szCs w:val="24"/>
        </w:rPr>
        <w:t xml:space="preserve">f </w:t>
      </w:r>
      <w:r w:rsidRPr="00A97CC2">
        <w:rPr>
          <w:rFonts w:ascii="Arial" w:hAnsi="Arial" w:cs="Arial"/>
          <w:sz w:val="24"/>
          <w:szCs w:val="24"/>
        </w:rPr>
        <w:t xml:space="preserve">piled slash accumulations are present and any planned treatments to abate the associated fire hazard. </w:t>
      </w:r>
      <w:r w:rsidR="00F92590" w:rsidRPr="00A97CC2">
        <w:rPr>
          <w:rFonts w:ascii="Arial" w:hAnsi="Arial" w:cs="Arial"/>
          <w:sz w:val="24"/>
          <w:szCs w:val="24"/>
        </w:rPr>
        <w:t xml:space="preserve">Most woodlot licensees </w:t>
      </w:r>
      <w:r w:rsidR="008035A6" w:rsidRPr="00A97CC2">
        <w:rPr>
          <w:rFonts w:ascii="Arial" w:hAnsi="Arial" w:cs="Arial"/>
          <w:sz w:val="24"/>
          <w:szCs w:val="24"/>
        </w:rPr>
        <w:t>and forest professional</w:t>
      </w:r>
      <w:r w:rsidR="00111E72" w:rsidRPr="00A97CC2">
        <w:rPr>
          <w:rFonts w:ascii="Arial" w:hAnsi="Arial" w:cs="Arial"/>
          <w:sz w:val="24"/>
          <w:szCs w:val="24"/>
        </w:rPr>
        <w:t>s</w:t>
      </w:r>
      <w:r w:rsidR="008035A6" w:rsidRPr="00A97CC2">
        <w:rPr>
          <w:rFonts w:ascii="Arial" w:hAnsi="Arial" w:cs="Arial"/>
          <w:sz w:val="24"/>
          <w:szCs w:val="24"/>
        </w:rPr>
        <w:t xml:space="preserve"> </w:t>
      </w:r>
      <w:r w:rsidR="00F92590" w:rsidRPr="00A97CC2">
        <w:rPr>
          <w:rFonts w:ascii="Arial" w:hAnsi="Arial" w:cs="Arial"/>
          <w:sz w:val="24"/>
          <w:szCs w:val="24"/>
        </w:rPr>
        <w:t>agree that significant slash accumulations at roadsides or landings</w:t>
      </w:r>
      <w:r w:rsidRPr="00A97CC2">
        <w:rPr>
          <w:rFonts w:ascii="Arial" w:hAnsi="Arial" w:cs="Arial"/>
          <w:sz w:val="24"/>
          <w:szCs w:val="24"/>
        </w:rPr>
        <w:t xml:space="preserve"> </w:t>
      </w:r>
      <w:r w:rsidR="00C712F7" w:rsidRPr="00A97CC2">
        <w:rPr>
          <w:rFonts w:ascii="Arial" w:hAnsi="Arial" w:cs="Arial"/>
          <w:sz w:val="24"/>
          <w:szCs w:val="24"/>
        </w:rPr>
        <w:t>have a “F</w:t>
      </w:r>
      <w:r w:rsidR="00664F42" w:rsidRPr="00A97CC2">
        <w:rPr>
          <w:rFonts w:ascii="Arial" w:hAnsi="Arial" w:cs="Arial"/>
          <w:sz w:val="24"/>
          <w:szCs w:val="24"/>
        </w:rPr>
        <w:t>uel</w:t>
      </w:r>
      <w:r w:rsidR="00C712F7" w:rsidRPr="00A97CC2">
        <w:rPr>
          <w:rFonts w:ascii="Arial" w:hAnsi="Arial" w:cs="Arial"/>
          <w:sz w:val="24"/>
          <w:szCs w:val="24"/>
        </w:rPr>
        <w:t xml:space="preserve"> Hazard Rating” exceeding 14 </w:t>
      </w:r>
      <w:r w:rsidR="00922E7A" w:rsidRPr="00A97CC2">
        <w:rPr>
          <w:rFonts w:ascii="Arial" w:hAnsi="Arial" w:cs="Arial"/>
          <w:sz w:val="24"/>
          <w:szCs w:val="24"/>
        </w:rPr>
        <w:t xml:space="preserve">points </w:t>
      </w:r>
      <w:r w:rsidR="00C712F7" w:rsidRPr="00A97CC2">
        <w:rPr>
          <w:rFonts w:ascii="Arial" w:hAnsi="Arial" w:cs="Arial"/>
          <w:sz w:val="24"/>
          <w:szCs w:val="24"/>
        </w:rPr>
        <w:t xml:space="preserve">and therefore </w:t>
      </w:r>
      <w:r w:rsidR="00F92590" w:rsidRPr="00A97CC2">
        <w:rPr>
          <w:rFonts w:ascii="Arial" w:hAnsi="Arial" w:cs="Arial"/>
          <w:sz w:val="24"/>
          <w:szCs w:val="24"/>
        </w:rPr>
        <w:t xml:space="preserve">must be abated. </w:t>
      </w:r>
      <w:r w:rsidR="003801F7" w:rsidRPr="00A97CC2">
        <w:rPr>
          <w:rFonts w:ascii="Arial" w:hAnsi="Arial" w:cs="Arial"/>
          <w:sz w:val="24"/>
          <w:szCs w:val="24"/>
        </w:rPr>
        <w:t>If small piles of woody debris, stumps or rotten butt logs are going to be left for wildlife</w:t>
      </w:r>
      <w:r w:rsidR="004A51BC" w:rsidRPr="00A97CC2">
        <w:rPr>
          <w:rFonts w:ascii="Arial" w:hAnsi="Arial" w:cs="Arial"/>
          <w:sz w:val="24"/>
          <w:szCs w:val="24"/>
        </w:rPr>
        <w:t>, firewood</w:t>
      </w:r>
      <w:r w:rsidR="008E046A">
        <w:rPr>
          <w:rFonts w:ascii="Arial" w:hAnsi="Arial" w:cs="Arial"/>
          <w:sz w:val="24"/>
          <w:szCs w:val="24"/>
        </w:rPr>
        <w:t>,</w:t>
      </w:r>
      <w:r w:rsidR="004A51BC" w:rsidRPr="00A97CC2">
        <w:rPr>
          <w:rFonts w:ascii="Arial" w:hAnsi="Arial" w:cs="Arial"/>
          <w:sz w:val="24"/>
          <w:szCs w:val="24"/>
        </w:rPr>
        <w:t xml:space="preserve"> </w:t>
      </w:r>
      <w:r w:rsidR="003801F7" w:rsidRPr="00A97CC2">
        <w:rPr>
          <w:rFonts w:ascii="Arial" w:hAnsi="Arial" w:cs="Arial"/>
          <w:sz w:val="24"/>
          <w:szCs w:val="24"/>
        </w:rPr>
        <w:t>or because they are unlikely to burn</w:t>
      </w:r>
      <w:r w:rsidR="004A51BC" w:rsidRPr="00A97CC2">
        <w:rPr>
          <w:rFonts w:ascii="Arial" w:hAnsi="Arial" w:cs="Arial"/>
          <w:sz w:val="24"/>
          <w:szCs w:val="24"/>
        </w:rPr>
        <w:t>,</w:t>
      </w:r>
      <w:r w:rsidR="003801F7" w:rsidRPr="00A97CC2">
        <w:rPr>
          <w:rFonts w:ascii="Arial" w:hAnsi="Arial" w:cs="Arial"/>
          <w:sz w:val="24"/>
          <w:szCs w:val="24"/>
        </w:rPr>
        <w:t xml:space="preserve"> this should be documented in the fire hazard assessment.</w:t>
      </w:r>
      <w:r w:rsidR="003801F7">
        <w:rPr>
          <w:rFonts w:ascii="Arial" w:hAnsi="Arial" w:cs="Arial"/>
          <w:sz w:val="24"/>
          <w:szCs w:val="24"/>
        </w:rPr>
        <w:t xml:space="preserve"> </w:t>
      </w:r>
    </w:p>
    <w:p w14:paraId="13CC9543" w14:textId="4B9898CF" w:rsidR="003423A3" w:rsidRDefault="006833DF" w:rsidP="003423A3">
      <w:pPr>
        <w:rPr>
          <w:rFonts w:ascii="Arial" w:hAnsi="Arial" w:cs="Arial"/>
          <w:sz w:val="24"/>
          <w:szCs w:val="24"/>
        </w:rPr>
      </w:pPr>
      <w:r w:rsidRPr="00835C0A">
        <w:rPr>
          <w:rFonts w:ascii="Arial" w:hAnsi="Arial" w:cs="Arial"/>
          <w:sz w:val="24"/>
          <w:szCs w:val="24"/>
        </w:rPr>
        <w:t>It is my opinion</w:t>
      </w:r>
      <w:r w:rsidR="00955F10" w:rsidRPr="00835C0A">
        <w:rPr>
          <w:rFonts w:ascii="Arial" w:hAnsi="Arial" w:cs="Arial"/>
          <w:sz w:val="24"/>
          <w:szCs w:val="24"/>
        </w:rPr>
        <w:t>,</w:t>
      </w:r>
      <w:r>
        <w:rPr>
          <w:rFonts w:ascii="Arial" w:hAnsi="Arial" w:cs="Arial"/>
          <w:sz w:val="24"/>
          <w:szCs w:val="24"/>
        </w:rPr>
        <w:t xml:space="preserve"> that large </w:t>
      </w:r>
      <w:r w:rsidR="00EF5A8E" w:rsidRPr="00BD2717">
        <w:rPr>
          <w:rFonts w:ascii="Arial" w:hAnsi="Arial" w:cs="Arial"/>
          <w:sz w:val="24"/>
          <w:szCs w:val="24"/>
        </w:rPr>
        <w:t>slash accumulations at roadsides or landings</w:t>
      </w:r>
      <w:r w:rsidR="00F92590">
        <w:rPr>
          <w:rFonts w:ascii="Arial" w:hAnsi="Arial" w:cs="Arial"/>
          <w:sz w:val="24"/>
          <w:szCs w:val="24"/>
        </w:rPr>
        <w:t xml:space="preserve"> </w:t>
      </w:r>
      <w:r>
        <w:rPr>
          <w:rFonts w:ascii="Arial" w:hAnsi="Arial" w:cs="Arial"/>
          <w:sz w:val="24"/>
          <w:szCs w:val="24"/>
        </w:rPr>
        <w:t>are an obvious fire hazard that must</w:t>
      </w:r>
      <w:r w:rsidR="00EF5A8E">
        <w:rPr>
          <w:rFonts w:ascii="Arial" w:hAnsi="Arial" w:cs="Arial"/>
          <w:sz w:val="24"/>
          <w:szCs w:val="24"/>
        </w:rPr>
        <w:t xml:space="preserve"> be </w:t>
      </w:r>
      <w:r>
        <w:rPr>
          <w:rFonts w:ascii="Arial" w:hAnsi="Arial" w:cs="Arial"/>
          <w:sz w:val="24"/>
          <w:szCs w:val="24"/>
        </w:rPr>
        <w:t xml:space="preserve">promptly </w:t>
      </w:r>
      <w:r w:rsidR="00EF5A8E">
        <w:rPr>
          <w:rFonts w:ascii="Arial" w:hAnsi="Arial" w:cs="Arial"/>
          <w:sz w:val="24"/>
          <w:szCs w:val="24"/>
        </w:rPr>
        <w:t xml:space="preserve">abated </w:t>
      </w:r>
      <w:r>
        <w:rPr>
          <w:rFonts w:ascii="Arial" w:hAnsi="Arial" w:cs="Arial"/>
          <w:sz w:val="24"/>
          <w:szCs w:val="24"/>
        </w:rPr>
        <w:t>and there is n</w:t>
      </w:r>
      <w:r w:rsidR="00EF5A8E">
        <w:rPr>
          <w:rFonts w:ascii="Arial" w:hAnsi="Arial" w:cs="Arial"/>
          <w:sz w:val="24"/>
          <w:szCs w:val="24"/>
        </w:rPr>
        <w:t xml:space="preserve">o need to measure </w:t>
      </w:r>
      <w:r>
        <w:rPr>
          <w:rFonts w:ascii="Arial" w:hAnsi="Arial" w:cs="Arial"/>
          <w:sz w:val="24"/>
          <w:szCs w:val="24"/>
        </w:rPr>
        <w:t xml:space="preserve">or quantify </w:t>
      </w:r>
      <w:r w:rsidR="00EF5A8E">
        <w:rPr>
          <w:rFonts w:ascii="Arial" w:hAnsi="Arial" w:cs="Arial"/>
          <w:sz w:val="24"/>
          <w:szCs w:val="24"/>
        </w:rPr>
        <w:t xml:space="preserve">the fuel hazard associated with these </w:t>
      </w:r>
      <w:r w:rsidR="00A67CCE">
        <w:rPr>
          <w:rFonts w:ascii="Arial" w:hAnsi="Arial" w:cs="Arial"/>
          <w:sz w:val="24"/>
          <w:szCs w:val="24"/>
        </w:rPr>
        <w:t xml:space="preserve">piled </w:t>
      </w:r>
      <w:r w:rsidR="00EF5A8E">
        <w:rPr>
          <w:rFonts w:ascii="Arial" w:hAnsi="Arial" w:cs="Arial"/>
          <w:sz w:val="24"/>
          <w:szCs w:val="24"/>
        </w:rPr>
        <w:t>slash accumulations</w:t>
      </w:r>
      <w:r w:rsidRPr="006833DF">
        <w:rPr>
          <w:rFonts w:ascii="Arial" w:hAnsi="Arial" w:cs="Arial"/>
          <w:sz w:val="24"/>
          <w:szCs w:val="24"/>
        </w:rPr>
        <w:t xml:space="preserve"> </w:t>
      </w:r>
      <w:r>
        <w:rPr>
          <w:rFonts w:ascii="Arial" w:hAnsi="Arial" w:cs="Arial"/>
          <w:sz w:val="24"/>
          <w:szCs w:val="24"/>
        </w:rPr>
        <w:t>if the fire hazard assessment indicates this fire hazard will be abated</w:t>
      </w:r>
      <w:r w:rsidR="00EF5A8E">
        <w:rPr>
          <w:rFonts w:ascii="Arial" w:hAnsi="Arial" w:cs="Arial"/>
          <w:sz w:val="24"/>
          <w:szCs w:val="24"/>
        </w:rPr>
        <w:t xml:space="preserve">. </w:t>
      </w:r>
      <w:r w:rsidR="001258F2">
        <w:rPr>
          <w:rFonts w:ascii="Arial" w:hAnsi="Arial" w:cs="Arial"/>
          <w:sz w:val="24"/>
          <w:szCs w:val="24"/>
        </w:rPr>
        <w:t>I</w:t>
      </w:r>
      <w:r w:rsidR="003423A3">
        <w:rPr>
          <w:rFonts w:ascii="Arial" w:hAnsi="Arial" w:cs="Arial"/>
          <w:sz w:val="24"/>
          <w:szCs w:val="24"/>
        </w:rPr>
        <w:t>n</w:t>
      </w:r>
      <w:r w:rsidR="001258F2">
        <w:rPr>
          <w:rFonts w:ascii="Arial" w:hAnsi="Arial" w:cs="Arial"/>
          <w:sz w:val="24"/>
          <w:szCs w:val="24"/>
        </w:rPr>
        <w:t xml:space="preserve"> talking to local Compliance and Enforcement staff</w:t>
      </w:r>
      <w:r w:rsidR="008E046A">
        <w:rPr>
          <w:rFonts w:ascii="Arial" w:hAnsi="Arial" w:cs="Arial"/>
          <w:sz w:val="24"/>
          <w:szCs w:val="24"/>
        </w:rPr>
        <w:t>,</w:t>
      </w:r>
      <w:r w:rsidR="001258F2">
        <w:rPr>
          <w:rFonts w:ascii="Arial" w:hAnsi="Arial" w:cs="Arial"/>
          <w:sz w:val="24"/>
          <w:szCs w:val="24"/>
        </w:rPr>
        <w:t xml:space="preserve"> they feel justified in ticketing licensees if they find old</w:t>
      </w:r>
      <w:r w:rsidR="003423A3">
        <w:rPr>
          <w:rFonts w:ascii="Arial" w:hAnsi="Arial" w:cs="Arial"/>
          <w:sz w:val="24"/>
          <w:szCs w:val="24"/>
        </w:rPr>
        <w:t>,</w:t>
      </w:r>
      <w:r w:rsidR="001258F2">
        <w:rPr>
          <w:rFonts w:ascii="Arial" w:hAnsi="Arial" w:cs="Arial"/>
          <w:sz w:val="24"/>
          <w:szCs w:val="24"/>
        </w:rPr>
        <w:t xml:space="preserve"> </w:t>
      </w:r>
      <w:r w:rsidR="003423A3">
        <w:rPr>
          <w:rFonts w:ascii="Arial" w:hAnsi="Arial" w:cs="Arial"/>
          <w:sz w:val="24"/>
          <w:szCs w:val="24"/>
        </w:rPr>
        <w:t xml:space="preserve">unburnt </w:t>
      </w:r>
      <w:r w:rsidR="001258F2">
        <w:rPr>
          <w:rFonts w:ascii="Arial" w:hAnsi="Arial" w:cs="Arial"/>
          <w:sz w:val="24"/>
          <w:szCs w:val="24"/>
        </w:rPr>
        <w:t xml:space="preserve">piles of logging slash at roadsides or on landings because they </w:t>
      </w:r>
      <w:r w:rsidR="003423A3">
        <w:rPr>
          <w:rFonts w:ascii="Arial" w:hAnsi="Arial" w:cs="Arial"/>
          <w:sz w:val="24"/>
          <w:szCs w:val="24"/>
        </w:rPr>
        <w:t>consider</w:t>
      </w:r>
      <w:r w:rsidR="001258F2">
        <w:rPr>
          <w:rFonts w:ascii="Arial" w:hAnsi="Arial" w:cs="Arial"/>
          <w:sz w:val="24"/>
          <w:szCs w:val="24"/>
        </w:rPr>
        <w:t xml:space="preserve"> such </w:t>
      </w:r>
      <w:r w:rsidR="003423A3">
        <w:rPr>
          <w:rFonts w:ascii="Arial" w:hAnsi="Arial" w:cs="Arial"/>
          <w:sz w:val="24"/>
          <w:szCs w:val="24"/>
        </w:rPr>
        <w:t xml:space="preserve">slash </w:t>
      </w:r>
      <w:r w:rsidR="001258F2">
        <w:rPr>
          <w:rFonts w:ascii="Arial" w:hAnsi="Arial" w:cs="Arial"/>
          <w:sz w:val="24"/>
          <w:szCs w:val="24"/>
        </w:rPr>
        <w:t xml:space="preserve">piles </w:t>
      </w:r>
      <w:r w:rsidR="003423A3">
        <w:rPr>
          <w:rFonts w:ascii="Arial" w:hAnsi="Arial" w:cs="Arial"/>
          <w:sz w:val="24"/>
          <w:szCs w:val="24"/>
        </w:rPr>
        <w:t>to b</w:t>
      </w:r>
      <w:r w:rsidR="001258F2">
        <w:rPr>
          <w:rFonts w:ascii="Arial" w:hAnsi="Arial" w:cs="Arial"/>
          <w:sz w:val="24"/>
          <w:szCs w:val="24"/>
        </w:rPr>
        <w:t>e a</w:t>
      </w:r>
      <w:r w:rsidR="003423A3">
        <w:rPr>
          <w:rFonts w:ascii="Arial" w:hAnsi="Arial" w:cs="Arial"/>
          <w:sz w:val="24"/>
          <w:szCs w:val="24"/>
        </w:rPr>
        <w:t>n obvious and</w:t>
      </w:r>
      <w:r w:rsidR="001258F2">
        <w:rPr>
          <w:rFonts w:ascii="Arial" w:hAnsi="Arial" w:cs="Arial"/>
          <w:sz w:val="24"/>
          <w:szCs w:val="24"/>
        </w:rPr>
        <w:t xml:space="preserve"> significant fire hazard</w:t>
      </w:r>
      <w:r w:rsidR="001258F2" w:rsidRPr="003423A3">
        <w:rPr>
          <w:rFonts w:ascii="Arial" w:hAnsi="Arial" w:cs="Arial"/>
          <w:sz w:val="24"/>
          <w:szCs w:val="24"/>
        </w:rPr>
        <w:t xml:space="preserve">.  </w:t>
      </w:r>
      <w:r w:rsidR="003423A3" w:rsidRPr="003423A3">
        <w:rPr>
          <w:rFonts w:ascii="Arial" w:hAnsi="Arial" w:cs="Arial"/>
          <w:sz w:val="24"/>
          <w:szCs w:val="24"/>
        </w:rPr>
        <w:t>Most woodlot licence fire hazard assessments</w:t>
      </w:r>
      <w:r w:rsidR="008E046A">
        <w:rPr>
          <w:rFonts w:ascii="Arial" w:hAnsi="Arial" w:cs="Arial"/>
          <w:sz w:val="24"/>
          <w:szCs w:val="24"/>
        </w:rPr>
        <w:t>,</w:t>
      </w:r>
      <w:r w:rsidR="003423A3" w:rsidRPr="003423A3">
        <w:rPr>
          <w:rFonts w:ascii="Arial" w:hAnsi="Arial" w:cs="Arial"/>
          <w:sz w:val="24"/>
          <w:szCs w:val="24"/>
        </w:rPr>
        <w:t xml:space="preserve"> I have reviewed</w:t>
      </w:r>
      <w:r w:rsidR="008E046A">
        <w:rPr>
          <w:rFonts w:ascii="Arial" w:hAnsi="Arial" w:cs="Arial"/>
          <w:sz w:val="24"/>
          <w:szCs w:val="24"/>
        </w:rPr>
        <w:t>,</w:t>
      </w:r>
      <w:r w:rsidR="003423A3" w:rsidRPr="003423A3">
        <w:rPr>
          <w:rFonts w:ascii="Arial" w:hAnsi="Arial" w:cs="Arial"/>
          <w:sz w:val="24"/>
          <w:szCs w:val="24"/>
        </w:rPr>
        <w:t xml:space="preserve"> document the existence of any slash accumulations at roadsides or landings</w:t>
      </w:r>
      <w:r w:rsidR="008E046A">
        <w:rPr>
          <w:rFonts w:ascii="Arial" w:hAnsi="Arial" w:cs="Arial"/>
          <w:sz w:val="24"/>
          <w:szCs w:val="24"/>
        </w:rPr>
        <w:t>,</w:t>
      </w:r>
      <w:r w:rsidR="003423A3" w:rsidRPr="003423A3">
        <w:rPr>
          <w:rFonts w:ascii="Arial" w:hAnsi="Arial" w:cs="Arial"/>
          <w:sz w:val="24"/>
          <w:szCs w:val="24"/>
        </w:rPr>
        <w:t xml:space="preserve"> and recommend treatments to abate the associated fire hazard without going into elaborate descriptions about the size, species characteristic or other attributes of these slash accumulations.  Given the common characteristics of these slash accumulations</w:t>
      </w:r>
      <w:r w:rsidR="008E046A">
        <w:rPr>
          <w:rFonts w:ascii="Arial" w:hAnsi="Arial" w:cs="Arial"/>
          <w:sz w:val="24"/>
          <w:szCs w:val="24"/>
        </w:rPr>
        <w:t>,</w:t>
      </w:r>
      <w:r w:rsidR="003423A3" w:rsidRPr="003423A3">
        <w:rPr>
          <w:rFonts w:ascii="Arial" w:hAnsi="Arial" w:cs="Arial"/>
          <w:sz w:val="24"/>
          <w:szCs w:val="24"/>
        </w:rPr>
        <w:t xml:space="preserve"> and the long held view</w:t>
      </w:r>
      <w:r w:rsidR="00360E32">
        <w:rPr>
          <w:rStyle w:val="FootnoteReference"/>
          <w:rFonts w:ascii="Arial" w:hAnsi="Arial" w:cs="Arial"/>
          <w:sz w:val="24"/>
          <w:szCs w:val="24"/>
        </w:rPr>
        <w:footnoteReference w:id="1"/>
      </w:r>
      <w:r w:rsidR="003423A3" w:rsidRPr="003423A3">
        <w:rPr>
          <w:rFonts w:ascii="Arial" w:hAnsi="Arial" w:cs="Arial"/>
          <w:sz w:val="24"/>
          <w:szCs w:val="24"/>
        </w:rPr>
        <w:t xml:space="preserve"> that these large slash accumulations constitute a fire hazard</w:t>
      </w:r>
      <w:r w:rsidR="008E046A">
        <w:rPr>
          <w:rFonts w:ascii="Arial" w:hAnsi="Arial" w:cs="Arial"/>
          <w:sz w:val="24"/>
          <w:szCs w:val="24"/>
        </w:rPr>
        <w:t>,</w:t>
      </w:r>
      <w:r w:rsidR="003423A3" w:rsidRPr="003423A3">
        <w:rPr>
          <w:rFonts w:ascii="Arial" w:hAnsi="Arial" w:cs="Arial"/>
          <w:sz w:val="24"/>
          <w:szCs w:val="24"/>
        </w:rPr>
        <w:t xml:space="preserve"> there is little need to describe the attributes of the</w:t>
      </w:r>
      <w:r w:rsidR="00B0566B">
        <w:rPr>
          <w:rFonts w:ascii="Arial" w:hAnsi="Arial" w:cs="Arial"/>
          <w:sz w:val="24"/>
          <w:szCs w:val="24"/>
        </w:rPr>
        <w:t>se</w:t>
      </w:r>
      <w:r w:rsidR="003423A3" w:rsidRPr="003423A3">
        <w:rPr>
          <w:rFonts w:ascii="Arial" w:hAnsi="Arial" w:cs="Arial"/>
          <w:sz w:val="24"/>
          <w:szCs w:val="24"/>
        </w:rPr>
        <w:t xml:space="preserve"> slash accumulations if the fire hazard assessment indicates these slash accumulations will be abated.</w:t>
      </w:r>
      <w:r w:rsidR="003423A3">
        <w:rPr>
          <w:rFonts w:ascii="Arial" w:hAnsi="Arial" w:cs="Arial"/>
          <w:sz w:val="24"/>
          <w:szCs w:val="24"/>
        </w:rPr>
        <w:t xml:space="preserve">  </w:t>
      </w:r>
    </w:p>
    <w:p w14:paraId="2A86E7BC" w14:textId="77777777" w:rsidR="003423A3" w:rsidRDefault="003423A3" w:rsidP="00D96999">
      <w:pPr>
        <w:rPr>
          <w:rFonts w:ascii="Arial" w:hAnsi="Arial" w:cs="Arial"/>
          <w:sz w:val="24"/>
          <w:szCs w:val="24"/>
        </w:rPr>
      </w:pPr>
    </w:p>
    <w:p w14:paraId="1474DA36" w14:textId="618C4475" w:rsidR="00D96999" w:rsidRDefault="00C87745" w:rsidP="00D96999">
      <w:pPr>
        <w:rPr>
          <w:rFonts w:ascii="Arial" w:hAnsi="Arial" w:cs="Arial"/>
          <w:sz w:val="24"/>
          <w:szCs w:val="24"/>
        </w:rPr>
      </w:pPr>
      <w:r>
        <w:rPr>
          <w:rFonts w:ascii="Arial" w:hAnsi="Arial" w:cs="Arial"/>
          <w:sz w:val="24"/>
          <w:szCs w:val="24"/>
        </w:rPr>
        <w:lastRenderedPageBreak/>
        <w:t xml:space="preserve">If </w:t>
      </w:r>
      <w:r w:rsidRPr="00BD2717">
        <w:rPr>
          <w:rFonts w:ascii="Arial" w:hAnsi="Arial" w:cs="Arial"/>
          <w:sz w:val="24"/>
          <w:szCs w:val="24"/>
        </w:rPr>
        <w:t>slash accumulations at roadsides or landings</w:t>
      </w:r>
      <w:r>
        <w:rPr>
          <w:rFonts w:ascii="Arial" w:hAnsi="Arial" w:cs="Arial"/>
          <w:sz w:val="24"/>
          <w:szCs w:val="24"/>
        </w:rPr>
        <w:t xml:space="preserve"> will </w:t>
      </w:r>
      <w:r w:rsidRPr="00C87745">
        <w:rPr>
          <w:rFonts w:ascii="Arial" w:hAnsi="Arial" w:cs="Arial"/>
          <w:sz w:val="24"/>
          <w:szCs w:val="24"/>
          <w:u w:val="single"/>
        </w:rPr>
        <w:t>not</w:t>
      </w:r>
      <w:r>
        <w:rPr>
          <w:rFonts w:ascii="Arial" w:hAnsi="Arial" w:cs="Arial"/>
          <w:sz w:val="24"/>
          <w:szCs w:val="24"/>
        </w:rPr>
        <w:t xml:space="preserve"> be abated</w:t>
      </w:r>
      <w:r w:rsidR="00172943">
        <w:rPr>
          <w:rFonts w:ascii="Arial" w:hAnsi="Arial" w:cs="Arial"/>
          <w:sz w:val="24"/>
          <w:szCs w:val="24"/>
        </w:rPr>
        <w:t xml:space="preserve"> then a separate </w:t>
      </w:r>
      <w:r w:rsidR="00CA45C3">
        <w:rPr>
          <w:rFonts w:ascii="Arial" w:hAnsi="Arial" w:cs="Arial"/>
          <w:sz w:val="24"/>
          <w:szCs w:val="24"/>
        </w:rPr>
        <w:t>“F</w:t>
      </w:r>
      <w:r w:rsidR="00453465">
        <w:rPr>
          <w:rFonts w:ascii="Arial" w:hAnsi="Arial" w:cs="Arial"/>
          <w:sz w:val="24"/>
          <w:szCs w:val="24"/>
        </w:rPr>
        <w:t>u</w:t>
      </w:r>
      <w:r w:rsidR="00172943">
        <w:rPr>
          <w:rFonts w:ascii="Arial" w:hAnsi="Arial" w:cs="Arial"/>
          <w:sz w:val="24"/>
          <w:szCs w:val="24"/>
        </w:rPr>
        <w:t>e</w:t>
      </w:r>
      <w:r w:rsidR="00453465">
        <w:rPr>
          <w:rFonts w:ascii="Arial" w:hAnsi="Arial" w:cs="Arial"/>
          <w:sz w:val="24"/>
          <w:szCs w:val="24"/>
        </w:rPr>
        <w:t>l</w:t>
      </w:r>
      <w:r w:rsidR="00172943">
        <w:rPr>
          <w:rFonts w:ascii="Arial" w:hAnsi="Arial" w:cs="Arial"/>
          <w:sz w:val="24"/>
          <w:szCs w:val="24"/>
        </w:rPr>
        <w:t xml:space="preserve"> </w:t>
      </w:r>
      <w:r w:rsidR="00CA45C3">
        <w:rPr>
          <w:rFonts w:ascii="Arial" w:hAnsi="Arial" w:cs="Arial"/>
          <w:sz w:val="24"/>
          <w:szCs w:val="24"/>
        </w:rPr>
        <w:t>H</w:t>
      </w:r>
      <w:r w:rsidR="00172943">
        <w:rPr>
          <w:rFonts w:ascii="Arial" w:hAnsi="Arial" w:cs="Arial"/>
          <w:sz w:val="24"/>
          <w:szCs w:val="24"/>
        </w:rPr>
        <w:t xml:space="preserve">azard </w:t>
      </w:r>
      <w:r w:rsidR="00CA45C3">
        <w:rPr>
          <w:rFonts w:ascii="Arial" w:hAnsi="Arial" w:cs="Arial"/>
          <w:sz w:val="24"/>
          <w:szCs w:val="24"/>
        </w:rPr>
        <w:t>R</w:t>
      </w:r>
      <w:r w:rsidR="00453465">
        <w:rPr>
          <w:rFonts w:ascii="Arial" w:hAnsi="Arial" w:cs="Arial"/>
          <w:sz w:val="24"/>
          <w:szCs w:val="24"/>
        </w:rPr>
        <w:t>ating</w:t>
      </w:r>
      <w:r w:rsidR="00CA45C3">
        <w:rPr>
          <w:rFonts w:ascii="Arial" w:hAnsi="Arial" w:cs="Arial"/>
          <w:sz w:val="24"/>
          <w:szCs w:val="24"/>
        </w:rPr>
        <w:t>”</w:t>
      </w:r>
      <w:r w:rsidR="00172943">
        <w:rPr>
          <w:rFonts w:ascii="Arial" w:hAnsi="Arial" w:cs="Arial"/>
          <w:sz w:val="24"/>
          <w:szCs w:val="24"/>
        </w:rPr>
        <w:t xml:space="preserve"> should be completed for the area occupied by these </w:t>
      </w:r>
      <w:r w:rsidR="00172943" w:rsidRPr="00BD2717">
        <w:rPr>
          <w:rFonts w:ascii="Arial" w:hAnsi="Arial" w:cs="Arial"/>
          <w:sz w:val="24"/>
          <w:szCs w:val="24"/>
        </w:rPr>
        <w:t>slash accumulations</w:t>
      </w:r>
      <w:r w:rsidR="006833DF">
        <w:rPr>
          <w:rFonts w:ascii="Arial" w:hAnsi="Arial" w:cs="Arial"/>
          <w:sz w:val="24"/>
          <w:szCs w:val="24"/>
        </w:rPr>
        <w:t xml:space="preserve"> </w:t>
      </w:r>
      <w:r w:rsidR="00A67CCE" w:rsidRPr="00835C0A">
        <w:rPr>
          <w:rFonts w:ascii="Arial" w:hAnsi="Arial" w:cs="Arial"/>
          <w:sz w:val="24"/>
          <w:szCs w:val="24"/>
        </w:rPr>
        <w:t xml:space="preserve">with </w:t>
      </w:r>
      <w:r w:rsidR="006833DF" w:rsidRPr="00835C0A">
        <w:rPr>
          <w:rFonts w:ascii="Arial" w:hAnsi="Arial" w:cs="Arial"/>
          <w:sz w:val="24"/>
          <w:szCs w:val="24"/>
        </w:rPr>
        <w:t>a rationale</w:t>
      </w:r>
      <w:r w:rsidR="006833DF">
        <w:rPr>
          <w:rFonts w:ascii="Arial" w:hAnsi="Arial" w:cs="Arial"/>
          <w:sz w:val="24"/>
          <w:szCs w:val="24"/>
        </w:rPr>
        <w:t xml:space="preserve"> </w:t>
      </w:r>
      <w:r w:rsidR="00B32FEA">
        <w:rPr>
          <w:rFonts w:ascii="Arial" w:hAnsi="Arial" w:cs="Arial"/>
          <w:sz w:val="24"/>
          <w:szCs w:val="24"/>
        </w:rPr>
        <w:t xml:space="preserve">developed by a </w:t>
      </w:r>
      <w:r w:rsidR="00850C79">
        <w:rPr>
          <w:rFonts w:ascii="Arial" w:hAnsi="Arial" w:cs="Arial"/>
          <w:sz w:val="24"/>
          <w:szCs w:val="24"/>
        </w:rPr>
        <w:t xml:space="preserve">qualified </w:t>
      </w:r>
      <w:r w:rsidR="00B32FEA">
        <w:rPr>
          <w:rFonts w:ascii="Arial" w:hAnsi="Arial" w:cs="Arial"/>
          <w:sz w:val="24"/>
          <w:szCs w:val="24"/>
        </w:rPr>
        <w:t>forest professional</w:t>
      </w:r>
      <w:r w:rsidR="00CA45C3">
        <w:rPr>
          <w:rFonts w:ascii="Arial" w:hAnsi="Arial" w:cs="Arial"/>
          <w:sz w:val="24"/>
          <w:szCs w:val="24"/>
        </w:rPr>
        <w:t>,</w:t>
      </w:r>
      <w:r w:rsidR="00B32FEA">
        <w:rPr>
          <w:rFonts w:ascii="Arial" w:hAnsi="Arial" w:cs="Arial"/>
          <w:sz w:val="24"/>
          <w:szCs w:val="24"/>
        </w:rPr>
        <w:t xml:space="preserve"> </w:t>
      </w:r>
      <w:r w:rsidR="00A67CCE">
        <w:rPr>
          <w:rFonts w:ascii="Arial" w:hAnsi="Arial" w:cs="Arial"/>
          <w:sz w:val="24"/>
          <w:szCs w:val="24"/>
        </w:rPr>
        <w:t xml:space="preserve">justifying why </w:t>
      </w:r>
      <w:r w:rsidR="006833DF">
        <w:rPr>
          <w:rFonts w:ascii="Arial" w:hAnsi="Arial" w:cs="Arial"/>
          <w:sz w:val="24"/>
          <w:szCs w:val="24"/>
        </w:rPr>
        <w:t>there is no need for fire hazard abatement</w:t>
      </w:r>
      <w:r w:rsidR="00172943">
        <w:rPr>
          <w:rFonts w:ascii="Arial" w:hAnsi="Arial" w:cs="Arial"/>
          <w:sz w:val="24"/>
          <w:szCs w:val="24"/>
        </w:rPr>
        <w:t>.</w:t>
      </w:r>
      <w:r w:rsidR="00D96999">
        <w:rPr>
          <w:rFonts w:ascii="Arial" w:hAnsi="Arial" w:cs="Arial"/>
          <w:sz w:val="24"/>
          <w:szCs w:val="24"/>
        </w:rPr>
        <w:t xml:space="preserve"> </w:t>
      </w:r>
    </w:p>
    <w:p w14:paraId="61E404F5" w14:textId="77777777" w:rsidR="00C938EC" w:rsidRDefault="00C938EC" w:rsidP="00C938EC">
      <w:pPr>
        <w:rPr>
          <w:rFonts w:ascii="Arial" w:hAnsi="Arial" w:cs="Arial"/>
          <w:sz w:val="24"/>
          <w:szCs w:val="24"/>
        </w:rPr>
      </w:pPr>
    </w:p>
    <w:p w14:paraId="039F25D1" w14:textId="308CBA22" w:rsidR="00226961" w:rsidRDefault="00664F42" w:rsidP="00C938EC">
      <w:pPr>
        <w:rPr>
          <w:rFonts w:ascii="Arial" w:hAnsi="Arial" w:cs="Arial"/>
          <w:sz w:val="24"/>
          <w:szCs w:val="24"/>
        </w:rPr>
      </w:pPr>
      <w:r>
        <w:rPr>
          <w:rFonts w:ascii="Arial" w:hAnsi="Arial" w:cs="Arial"/>
          <w:sz w:val="24"/>
          <w:szCs w:val="24"/>
        </w:rPr>
        <w:t xml:space="preserve">The rest of the </w:t>
      </w:r>
      <w:r w:rsidR="003B39B6">
        <w:rPr>
          <w:rFonts w:ascii="Arial" w:hAnsi="Arial" w:cs="Arial"/>
          <w:sz w:val="24"/>
          <w:szCs w:val="24"/>
        </w:rPr>
        <w:t xml:space="preserve">tabular information in the </w:t>
      </w:r>
      <w:r>
        <w:rPr>
          <w:rFonts w:ascii="Arial" w:hAnsi="Arial" w:cs="Arial"/>
          <w:sz w:val="24"/>
          <w:szCs w:val="24"/>
        </w:rPr>
        <w:t xml:space="preserve">proposed fire hazard assessment </w:t>
      </w:r>
      <w:r w:rsidR="003B39B6">
        <w:rPr>
          <w:rFonts w:ascii="Arial" w:hAnsi="Arial" w:cs="Arial"/>
          <w:sz w:val="24"/>
          <w:szCs w:val="24"/>
        </w:rPr>
        <w:t xml:space="preserve">is designed </w:t>
      </w:r>
      <w:r w:rsidR="007952E0">
        <w:rPr>
          <w:rFonts w:ascii="Arial" w:hAnsi="Arial" w:cs="Arial"/>
          <w:sz w:val="24"/>
          <w:szCs w:val="24"/>
        </w:rPr>
        <w:t xml:space="preserve">to </w:t>
      </w:r>
      <w:r w:rsidR="00CA45C3">
        <w:rPr>
          <w:rFonts w:ascii="Arial" w:hAnsi="Arial" w:cs="Arial"/>
          <w:sz w:val="24"/>
          <w:szCs w:val="24"/>
        </w:rPr>
        <w:t xml:space="preserve">satisfy the legal requirement </w:t>
      </w:r>
      <w:r w:rsidR="003B39B6">
        <w:rPr>
          <w:rFonts w:ascii="Arial" w:hAnsi="Arial" w:cs="Arial"/>
          <w:sz w:val="24"/>
          <w:szCs w:val="24"/>
        </w:rPr>
        <w:t xml:space="preserve">to document </w:t>
      </w:r>
      <w:r w:rsidR="003B39B6" w:rsidRPr="003801F7">
        <w:rPr>
          <w:rFonts w:ascii="Arial" w:hAnsi="Arial" w:cs="Arial"/>
          <w:b/>
          <w:sz w:val="24"/>
          <w:szCs w:val="24"/>
        </w:rPr>
        <w:t>the risk of a fire starting or spreading on the area</w:t>
      </w:r>
      <w:r w:rsidR="003B39B6">
        <w:rPr>
          <w:rFonts w:ascii="Arial" w:hAnsi="Arial" w:cs="Arial"/>
          <w:sz w:val="24"/>
          <w:szCs w:val="24"/>
        </w:rPr>
        <w:t>. The first factor, “Risk of Human Ignition” does not account for th</w:t>
      </w:r>
      <w:r w:rsidR="00AF3A63">
        <w:rPr>
          <w:rFonts w:ascii="Arial" w:hAnsi="Arial" w:cs="Arial"/>
          <w:sz w:val="24"/>
          <w:szCs w:val="24"/>
        </w:rPr>
        <w:t>e</w:t>
      </w:r>
      <w:r w:rsidR="003B39B6">
        <w:rPr>
          <w:rFonts w:ascii="Arial" w:hAnsi="Arial" w:cs="Arial"/>
          <w:sz w:val="24"/>
          <w:szCs w:val="24"/>
        </w:rPr>
        <w:t xml:space="preserve"> risk </w:t>
      </w:r>
      <w:r w:rsidR="00AF3A63">
        <w:rPr>
          <w:rFonts w:ascii="Arial" w:hAnsi="Arial" w:cs="Arial"/>
          <w:sz w:val="24"/>
          <w:szCs w:val="24"/>
        </w:rPr>
        <w:t>of</w:t>
      </w:r>
      <w:r w:rsidR="00955F10">
        <w:rPr>
          <w:rFonts w:ascii="Arial" w:hAnsi="Arial" w:cs="Arial"/>
          <w:sz w:val="24"/>
          <w:szCs w:val="24"/>
        </w:rPr>
        <w:t xml:space="preserve"> fire ignition from</w:t>
      </w:r>
      <w:r w:rsidR="00AF3A63">
        <w:rPr>
          <w:rFonts w:ascii="Arial" w:hAnsi="Arial" w:cs="Arial"/>
          <w:sz w:val="24"/>
          <w:szCs w:val="24"/>
        </w:rPr>
        <w:t xml:space="preserve"> </w:t>
      </w:r>
      <w:r w:rsidR="003B39B6">
        <w:rPr>
          <w:rFonts w:ascii="Arial" w:hAnsi="Arial" w:cs="Arial"/>
          <w:sz w:val="24"/>
          <w:szCs w:val="24"/>
        </w:rPr>
        <w:t>lightning</w:t>
      </w:r>
      <w:r w:rsidR="00955F10">
        <w:rPr>
          <w:rFonts w:ascii="Arial" w:hAnsi="Arial" w:cs="Arial"/>
          <w:sz w:val="24"/>
          <w:szCs w:val="24"/>
        </w:rPr>
        <w:t xml:space="preserve"> strikes </w:t>
      </w:r>
      <w:r w:rsidR="00A67CCE">
        <w:rPr>
          <w:rFonts w:ascii="Arial" w:hAnsi="Arial" w:cs="Arial"/>
          <w:sz w:val="24"/>
          <w:szCs w:val="24"/>
        </w:rPr>
        <w:t>on the harvested area</w:t>
      </w:r>
      <w:r w:rsidR="003801F7">
        <w:rPr>
          <w:rFonts w:ascii="Arial" w:hAnsi="Arial" w:cs="Arial"/>
          <w:sz w:val="24"/>
          <w:szCs w:val="24"/>
        </w:rPr>
        <w:t>.</w:t>
      </w:r>
      <w:r w:rsidR="00111E72">
        <w:rPr>
          <w:rFonts w:ascii="Arial" w:hAnsi="Arial" w:cs="Arial"/>
          <w:sz w:val="24"/>
          <w:szCs w:val="24"/>
        </w:rPr>
        <w:t xml:space="preserve"> </w:t>
      </w:r>
      <w:r w:rsidR="003801F7">
        <w:rPr>
          <w:rFonts w:ascii="Arial" w:hAnsi="Arial" w:cs="Arial"/>
          <w:sz w:val="24"/>
          <w:szCs w:val="24"/>
        </w:rPr>
        <w:t>I</w:t>
      </w:r>
      <w:r w:rsidR="003B39B6">
        <w:rPr>
          <w:rFonts w:ascii="Arial" w:hAnsi="Arial" w:cs="Arial"/>
          <w:sz w:val="24"/>
          <w:szCs w:val="24"/>
        </w:rPr>
        <w:t xml:space="preserve">n 2018 </w:t>
      </w:r>
      <w:r w:rsidR="00A51161">
        <w:rPr>
          <w:rFonts w:ascii="Arial" w:hAnsi="Arial" w:cs="Arial"/>
          <w:sz w:val="24"/>
          <w:szCs w:val="24"/>
        </w:rPr>
        <w:t xml:space="preserve">the </w:t>
      </w:r>
      <w:r w:rsidR="003B39B6">
        <w:rPr>
          <w:rFonts w:ascii="Arial" w:hAnsi="Arial" w:cs="Arial"/>
          <w:sz w:val="24"/>
          <w:szCs w:val="24"/>
        </w:rPr>
        <w:t>BC Wildfire Service estimate</w:t>
      </w:r>
      <w:r w:rsidR="00732AF9">
        <w:rPr>
          <w:rFonts w:ascii="Arial" w:hAnsi="Arial" w:cs="Arial"/>
          <w:sz w:val="24"/>
          <w:szCs w:val="24"/>
        </w:rPr>
        <w:t>d</w:t>
      </w:r>
      <w:r w:rsidR="003B39B6">
        <w:rPr>
          <w:rFonts w:ascii="Arial" w:hAnsi="Arial" w:cs="Arial"/>
          <w:sz w:val="24"/>
          <w:szCs w:val="24"/>
        </w:rPr>
        <w:t xml:space="preserve"> that 73% of wildfires </w:t>
      </w:r>
      <w:r w:rsidR="00AF3A63">
        <w:rPr>
          <w:rFonts w:ascii="Arial" w:hAnsi="Arial" w:cs="Arial"/>
          <w:sz w:val="24"/>
          <w:szCs w:val="24"/>
        </w:rPr>
        <w:t xml:space="preserve">in BC </w:t>
      </w:r>
      <w:r w:rsidR="003B39B6">
        <w:rPr>
          <w:rFonts w:ascii="Arial" w:hAnsi="Arial" w:cs="Arial"/>
          <w:sz w:val="24"/>
          <w:szCs w:val="24"/>
        </w:rPr>
        <w:t>were s</w:t>
      </w:r>
      <w:r w:rsidR="00A51161">
        <w:rPr>
          <w:rFonts w:ascii="Arial" w:hAnsi="Arial" w:cs="Arial"/>
          <w:sz w:val="24"/>
          <w:szCs w:val="24"/>
        </w:rPr>
        <w:t>tart</w:t>
      </w:r>
      <w:r w:rsidR="003B39B6">
        <w:rPr>
          <w:rFonts w:ascii="Arial" w:hAnsi="Arial" w:cs="Arial"/>
          <w:sz w:val="24"/>
          <w:szCs w:val="24"/>
        </w:rPr>
        <w:t xml:space="preserve">ed by lightning. </w:t>
      </w:r>
      <w:r w:rsidR="00AF3A63">
        <w:rPr>
          <w:rFonts w:ascii="Arial" w:hAnsi="Arial" w:cs="Arial"/>
          <w:sz w:val="24"/>
          <w:szCs w:val="24"/>
        </w:rPr>
        <w:t>Historically about 50% of wildfires in BC are started by lightning.  Therefore</w:t>
      </w:r>
      <w:r w:rsidR="00FC622D">
        <w:rPr>
          <w:rFonts w:ascii="Arial" w:hAnsi="Arial" w:cs="Arial"/>
          <w:sz w:val="24"/>
          <w:szCs w:val="24"/>
        </w:rPr>
        <w:t>,</w:t>
      </w:r>
      <w:r w:rsidR="00AF3A63">
        <w:rPr>
          <w:rFonts w:ascii="Arial" w:hAnsi="Arial" w:cs="Arial"/>
          <w:sz w:val="24"/>
          <w:szCs w:val="24"/>
        </w:rPr>
        <w:t xml:space="preserve"> restrictions or poor road access to the harvest area </w:t>
      </w:r>
      <w:r w:rsidR="00B67070">
        <w:rPr>
          <w:rFonts w:ascii="Arial" w:hAnsi="Arial" w:cs="Arial"/>
          <w:sz w:val="24"/>
          <w:szCs w:val="24"/>
        </w:rPr>
        <w:t>will not completely reduce</w:t>
      </w:r>
      <w:r w:rsidR="00AF3A63">
        <w:rPr>
          <w:rFonts w:ascii="Arial" w:hAnsi="Arial" w:cs="Arial"/>
          <w:sz w:val="24"/>
          <w:szCs w:val="24"/>
        </w:rPr>
        <w:t xml:space="preserve"> the risk of </w:t>
      </w:r>
      <w:r w:rsidR="00A67CCE">
        <w:rPr>
          <w:rFonts w:ascii="Arial" w:hAnsi="Arial" w:cs="Arial"/>
          <w:sz w:val="24"/>
          <w:szCs w:val="24"/>
        </w:rPr>
        <w:t xml:space="preserve">wildfire </w:t>
      </w:r>
      <w:r w:rsidR="00AF3A63">
        <w:rPr>
          <w:rFonts w:ascii="Arial" w:hAnsi="Arial" w:cs="Arial"/>
          <w:sz w:val="24"/>
          <w:szCs w:val="24"/>
        </w:rPr>
        <w:t>ignition</w:t>
      </w:r>
      <w:r w:rsidR="00B67070">
        <w:rPr>
          <w:rFonts w:ascii="Arial" w:hAnsi="Arial" w:cs="Arial"/>
          <w:sz w:val="24"/>
          <w:szCs w:val="24"/>
        </w:rPr>
        <w:t>.</w:t>
      </w:r>
      <w:r w:rsidR="00AF3A63">
        <w:rPr>
          <w:rFonts w:ascii="Arial" w:hAnsi="Arial" w:cs="Arial"/>
          <w:sz w:val="24"/>
          <w:szCs w:val="24"/>
        </w:rPr>
        <w:t xml:space="preserve"> </w:t>
      </w:r>
      <w:r w:rsidR="00226961">
        <w:rPr>
          <w:rFonts w:ascii="Arial" w:hAnsi="Arial" w:cs="Arial"/>
          <w:sz w:val="24"/>
          <w:szCs w:val="24"/>
        </w:rPr>
        <w:t>Cleanly p</w:t>
      </w:r>
      <w:r w:rsidR="006833DF">
        <w:rPr>
          <w:rFonts w:ascii="Arial" w:hAnsi="Arial" w:cs="Arial"/>
          <w:sz w:val="24"/>
          <w:szCs w:val="24"/>
        </w:rPr>
        <w:t xml:space="preserve">iling roadside logging slash accumulations one tree length away from the road will </w:t>
      </w:r>
      <w:r w:rsidR="001C66BE">
        <w:rPr>
          <w:rFonts w:ascii="Arial" w:hAnsi="Arial" w:cs="Arial"/>
          <w:sz w:val="24"/>
          <w:szCs w:val="24"/>
        </w:rPr>
        <w:t xml:space="preserve">slightly </w:t>
      </w:r>
      <w:r w:rsidR="006833DF">
        <w:rPr>
          <w:rFonts w:ascii="Arial" w:hAnsi="Arial" w:cs="Arial"/>
          <w:sz w:val="24"/>
          <w:szCs w:val="24"/>
        </w:rPr>
        <w:t xml:space="preserve">reduce the risk of human ignition </w:t>
      </w:r>
      <w:r w:rsidR="00226961">
        <w:rPr>
          <w:rFonts w:ascii="Arial" w:hAnsi="Arial" w:cs="Arial"/>
          <w:sz w:val="24"/>
          <w:szCs w:val="24"/>
        </w:rPr>
        <w:t xml:space="preserve">and </w:t>
      </w:r>
      <w:r w:rsidR="001C66BE">
        <w:rPr>
          <w:rFonts w:ascii="Arial" w:hAnsi="Arial" w:cs="Arial"/>
          <w:sz w:val="24"/>
          <w:szCs w:val="24"/>
        </w:rPr>
        <w:t xml:space="preserve">the risk of </w:t>
      </w:r>
      <w:r w:rsidR="00226961">
        <w:rPr>
          <w:rFonts w:ascii="Arial" w:hAnsi="Arial" w:cs="Arial"/>
          <w:sz w:val="24"/>
          <w:szCs w:val="24"/>
        </w:rPr>
        <w:t>fire spread</w:t>
      </w:r>
      <w:r w:rsidR="001C66BE">
        <w:rPr>
          <w:rFonts w:ascii="Arial" w:hAnsi="Arial" w:cs="Arial"/>
          <w:sz w:val="24"/>
          <w:szCs w:val="24"/>
        </w:rPr>
        <w:t>ing</w:t>
      </w:r>
      <w:r w:rsidR="00226961">
        <w:rPr>
          <w:rFonts w:ascii="Arial" w:hAnsi="Arial" w:cs="Arial"/>
          <w:sz w:val="24"/>
          <w:szCs w:val="24"/>
        </w:rPr>
        <w:t xml:space="preserve"> a</w:t>
      </w:r>
      <w:r w:rsidR="00A67CCE">
        <w:rPr>
          <w:rFonts w:ascii="Arial" w:hAnsi="Arial" w:cs="Arial"/>
          <w:sz w:val="24"/>
          <w:szCs w:val="24"/>
        </w:rPr>
        <w:t>way from the piles, (and across the r</w:t>
      </w:r>
      <w:r w:rsidR="00226961">
        <w:rPr>
          <w:rFonts w:ascii="Arial" w:hAnsi="Arial" w:cs="Arial"/>
          <w:sz w:val="24"/>
          <w:szCs w:val="24"/>
        </w:rPr>
        <w:t>oad</w:t>
      </w:r>
      <w:r w:rsidR="00A67CCE">
        <w:rPr>
          <w:rFonts w:ascii="Arial" w:hAnsi="Arial" w:cs="Arial"/>
          <w:sz w:val="24"/>
          <w:szCs w:val="24"/>
        </w:rPr>
        <w:t>),</w:t>
      </w:r>
      <w:r w:rsidR="00226961">
        <w:rPr>
          <w:rFonts w:ascii="Arial" w:hAnsi="Arial" w:cs="Arial"/>
          <w:sz w:val="24"/>
          <w:szCs w:val="24"/>
        </w:rPr>
        <w:t xml:space="preserve"> but will not reduce the risk of these slash accumulations being ignited by lightning.  </w:t>
      </w:r>
    </w:p>
    <w:p w14:paraId="0B7A6B3E" w14:textId="77777777" w:rsidR="00664F42" w:rsidRDefault="001328C4" w:rsidP="00C938EC">
      <w:pPr>
        <w:rPr>
          <w:rFonts w:ascii="Arial" w:hAnsi="Arial" w:cs="Arial"/>
          <w:sz w:val="24"/>
          <w:szCs w:val="24"/>
        </w:rPr>
      </w:pPr>
      <w:r>
        <w:rPr>
          <w:rFonts w:ascii="Arial" w:hAnsi="Arial" w:cs="Arial"/>
          <w:sz w:val="24"/>
          <w:szCs w:val="24"/>
        </w:rPr>
        <w:t>T</w:t>
      </w:r>
      <w:r w:rsidR="00A67CCE">
        <w:rPr>
          <w:rFonts w:ascii="Arial" w:hAnsi="Arial" w:cs="Arial"/>
          <w:sz w:val="24"/>
          <w:szCs w:val="24"/>
        </w:rPr>
        <w:t xml:space="preserve">o </w:t>
      </w:r>
      <w:r w:rsidR="00A71CF9">
        <w:rPr>
          <w:rFonts w:ascii="Arial" w:hAnsi="Arial" w:cs="Arial"/>
          <w:sz w:val="24"/>
          <w:szCs w:val="24"/>
        </w:rPr>
        <w:t xml:space="preserve">further </w:t>
      </w:r>
      <w:r w:rsidR="00A67CCE">
        <w:rPr>
          <w:rFonts w:ascii="Arial" w:hAnsi="Arial" w:cs="Arial"/>
          <w:sz w:val="24"/>
          <w:szCs w:val="24"/>
        </w:rPr>
        <w:t>document the risk of fire</w:t>
      </w:r>
      <w:r w:rsidR="00A67CCE" w:rsidRPr="00A67CCE">
        <w:rPr>
          <w:rFonts w:ascii="Arial" w:hAnsi="Arial" w:cs="Arial"/>
          <w:b/>
          <w:sz w:val="24"/>
          <w:szCs w:val="24"/>
        </w:rPr>
        <w:t xml:space="preserve"> </w:t>
      </w:r>
      <w:r w:rsidR="001C66BE">
        <w:rPr>
          <w:rFonts w:ascii="Arial" w:hAnsi="Arial" w:cs="Arial"/>
          <w:b/>
          <w:sz w:val="24"/>
          <w:szCs w:val="24"/>
        </w:rPr>
        <w:t xml:space="preserve">starting or </w:t>
      </w:r>
      <w:r w:rsidR="00A67CCE" w:rsidRPr="003801F7">
        <w:rPr>
          <w:rFonts w:ascii="Arial" w:hAnsi="Arial" w:cs="Arial"/>
          <w:b/>
          <w:sz w:val="24"/>
          <w:szCs w:val="24"/>
        </w:rPr>
        <w:t>spreading on the area</w:t>
      </w:r>
      <w:r w:rsidR="00A67CCE">
        <w:rPr>
          <w:rFonts w:ascii="Arial" w:hAnsi="Arial" w:cs="Arial"/>
          <w:sz w:val="24"/>
          <w:szCs w:val="24"/>
        </w:rPr>
        <w:t xml:space="preserve"> t</w:t>
      </w:r>
      <w:r>
        <w:rPr>
          <w:rFonts w:ascii="Arial" w:hAnsi="Arial" w:cs="Arial"/>
          <w:sz w:val="24"/>
          <w:szCs w:val="24"/>
        </w:rPr>
        <w:t>he average slope an</w:t>
      </w:r>
      <w:r w:rsidR="00921129">
        <w:rPr>
          <w:rFonts w:ascii="Arial" w:hAnsi="Arial" w:cs="Arial"/>
          <w:sz w:val="24"/>
          <w:szCs w:val="24"/>
        </w:rPr>
        <w:t>d</w:t>
      </w:r>
      <w:r>
        <w:rPr>
          <w:rFonts w:ascii="Arial" w:hAnsi="Arial" w:cs="Arial"/>
          <w:sz w:val="24"/>
          <w:szCs w:val="24"/>
        </w:rPr>
        <w:t xml:space="preserve"> aspect of the harvest area </w:t>
      </w:r>
      <w:r w:rsidR="00921129">
        <w:rPr>
          <w:rFonts w:ascii="Arial" w:hAnsi="Arial" w:cs="Arial"/>
          <w:sz w:val="24"/>
          <w:szCs w:val="24"/>
        </w:rPr>
        <w:t xml:space="preserve">are then documented </w:t>
      </w:r>
      <w:r w:rsidR="00226961">
        <w:rPr>
          <w:rFonts w:ascii="Arial" w:hAnsi="Arial" w:cs="Arial"/>
          <w:sz w:val="24"/>
          <w:szCs w:val="24"/>
        </w:rPr>
        <w:t xml:space="preserve">on the fire assessment form </w:t>
      </w:r>
      <w:r>
        <w:rPr>
          <w:rFonts w:ascii="Arial" w:hAnsi="Arial" w:cs="Arial"/>
          <w:sz w:val="24"/>
          <w:szCs w:val="24"/>
        </w:rPr>
        <w:t>since fire</w:t>
      </w:r>
      <w:r w:rsidR="00921129">
        <w:rPr>
          <w:rFonts w:ascii="Arial" w:hAnsi="Arial" w:cs="Arial"/>
          <w:sz w:val="24"/>
          <w:szCs w:val="24"/>
        </w:rPr>
        <w:t>s</w:t>
      </w:r>
      <w:r>
        <w:rPr>
          <w:rFonts w:ascii="Arial" w:hAnsi="Arial" w:cs="Arial"/>
          <w:sz w:val="24"/>
          <w:szCs w:val="24"/>
        </w:rPr>
        <w:t xml:space="preserve"> usually </w:t>
      </w:r>
      <w:r w:rsidR="00921129">
        <w:rPr>
          <w:rFonts w:ascii="Arial" w:hAnsi="Arial" w:cs="Arial"/>
          <w:sz w:val="24"/>
          <w:szCs w:val="24"/>
        </w:rPr>
        <w:t xml:space="preserve">spread </w:t>
      </w:r>
      <w:r>
        <w:rPr>
          <w:rFonts w:ascii="Arial" w:hAnsi="Arial" w:cs="Arial"/>
          <w:sz w:val="24"/>
          <w:szCs w:val="24"/>
        </w:rPr>
        <w:t xml:space="preserve">faster on steeper slopes and </w:t>
      </w:r>
      <w:r w:rsidR="001C66BE">
        <w:rPr>
          <w:rFonts w:ascii="Arial" w:hAnsi="Arial" w:cs="Arial"/>
          <w:sz w:val="24"/>
          <w:szCs w:val="24"/>
        </w:rPr>
        <w:t xml:space="preserve">will ignite more readily and spread faster on </w:t>
      </w:r>
      <w:r>
        <w:rPr>
          <w:rFonts w:ascii="Arial" w:hAnsi="Arial" w:cs="Arial"/>
          <w:sz w:val="24"/>
          <w:szCs w:val="24"/>
        </w:rPr>
        <w:t>sunnier aspects.</w:t>
      </w:r>
    </w:p>
    <w:p w14:paraId="2C53E03E" w14:textId="77777777" w:rsidR="00B1745C" w:rsidRDefault="00111E72" w:rsidP="00EF5A8E">
      <w:pPr>
        <w:rPr>
          <w:rFonts w:ascii="Arial" w:hAnsi="Arial" w:cs="Arial"/>
          <w:sz w:val="24"/>
          <w:szCs w:val="24"/>
        </w:rPr>
      </w:pPr>
      <w:r>
        <w:rPr>
          <w:rFonts w:ascii="Arial" w:hAnsi="Arial" w:cs="Arial"/>
          <w:sz w:val="24"/>
          <w:szCs w:val="24"/>
        </w:rPr>
        <w:t xml:space="preserve">The last </w:t>
      </w:r>
      <w:r w:rsidR="002926FC">
        <w:rPr>
          <w:rFonts w:ascii="Arial" w:hAnsi="Arial" w:cs="Arial"/>
          <w:sz w:val="24"/>
          <w:szCs w:val="24"/>
        </w:rPr>
        <w:t>factor in</w:t>
      </w:r>
      <w:r>
        <w:rPr>
          <w:rFonts w:ascii="Arial" w:hAnsi="Arial" w:cs="Arial"/>
          <w:sz w:val="24"/>
          <w:szCs w:val="24"/>
        </w:rPr>
        <w:t xml:space="preserve"> the</w:t>
      </w:r>
      <w:r w:rsidR="002926FC">
        <w:rPr>
          <w:rFonts w:ascii="Arial" w:hAnsi="Arial" w:cs="Arial"/>
          <w:sz w:val="24"/>
          <w:szCs w:val="24"/>
        </w:rPr>
        <w:t xml:space="preserve"> Table</w:t>
      </w:r>
      <w:r w:rsidR="008E046A">
        <w:rPr>
          <w:rFonts w:ascii="Arial" w:hAnsi="Arial" w:cs="Arial"/>
          <w:sz w:val="24"/>
          <w:szCs w:val="24"/>
        </w:rPr>
        <w:t>,</w:t>
      </w:r>
      <w:r w:rsidR="002926FC">
        <w:rPr>
          <w:rFonts w:ascii="Arial" w:hAnsi="Arial" w:cs="Arial"/>
          <w:sz w:val="24"/>
          <w:szCs w:val="24"/>
        </w:rPr>
        <w:t xml:space="preserve"> “</w:t>
      </w:r>
      <w:r w:rsidR="002926FC" w:rsidRPr="002926FC">
        <w:rPr>
          <w:rFonts w:ascii="Arial" w:hAnsi="Arial" w:cs="Arial"/>
          <w:sz w:val="24"/>
          <w:szCs w:val="24"/>
        </w:rPr>
        <w:t>Special Factors &amp; Nearby Values at Risk</w:t>
      </w:r>
      <w:r w:rsidR="00953561">
        <w:rPr>
          <w:rFonts w:ascii="Arial" w:hAnsi="Arial" w:cs="Arial"/>
          <w:sz w:val="18"/>
          <w:szCs w:val="18"/>
        </w:rPr>
        <w:t>”</w:t>
      </w:r>
      <w:r w:rsidR="008E046A">
        <w:rPr>
          <w:rFonts w:ascii="Arial" w:hAnsi="Arial" w:cs="Arial"/>
          <w:sz w:val="18"/>
          <w:szCs w:val="18"/>
        </w:rPr>
        <w:t>,</w:t>
      </w:r>
      <w:r w:rsidR="00953561">
        <w:rPr>
          <w:rFonts w:ascii="Arial" w:hAnsi="Arial" w:cs="Arial"/>
          <w:sz w:val="18"/>
          <w:szCs w:val="18"/>
        </w:rPr>
        <w:t xml:space="preserve"> </w:t>
      </w:r>
      <w:r w:rsidR="00953561">
        <w:rPr>
          <w:rFonts w:ascii="Arial" w:hAnsi="Arial" w:cs="Arial"/>
          <w:sz w:val="24"/>
          <w:szCs w:val="24"/>
        </w:rPr>
        <w:t>is</w:t>
      </w:r>
      <w:r w:rsidR="002926FC">
        <w:rPr>
          <w:rFonts w:ascii="Arial" w:hAnsi="Arial" w:cs="Arial"/>
          <w:sz w:val="24"/>
          <w:szCs w:val="24"/>
        </w:rPr>
        <w:t xml:space="preserve"> designed to consider things like the risk of lightning caus</w:t>
      </w:r>
      <w:r w:rsidR="00E20617">
        <w:rPr>
          <w:rFonts w:ascii="Arial" w:hAnsi="Arial" w:cs="Arial"/>
          <w:sz w:val="24"/>
          <w:szCs w:val="24"/>
        </w:rPr>
        <w:t>ing</w:t>
      </w:r>
      <w:r w:rsidR="002926FC">
        <w:rPr>
          <w:rFonts w:ascii="Arial" w:hAnsi="Arial" w:cs="Arial"/>
          <w:sz w:val="24"/>
          <w:szCs w:val="24"/>
        </w:rPr>
        <w:t xml:space="preserve"> fires in the area, whether the area is in a particularly dry or wet biogeoclimatic zone</w:t>
      </w:r>
      <w:r w:rsidR="00B67070">
        <w:rPr>
          <w:rFonts w:ascii="Arial" w:hAnsi="Arial" w:cs="Arial"/>
          <w:sz w:val="24"/>
          <w:szCs w:val="24"/>
        </w:rPr>
        <w:t xml:space="preserve"> or site series</w:t>
      </w:r>
      <w:r w:rsidR="002926FC">
        <w:rPr>
          <w:rFonts w:ascii="Arial" w:hAnsi="Arial" w:cs="Arial"/>
          <w:sz w:val="24"/>
          <w:szCs w:val="24"/>
        </w:rPr>
        <w:t>, heavy fuel loading just outside the cutblock</w:t>
      </w:r>
      <w:r w:rsidR="00226961">
        <w:rPr>
          <w:rFonts w:ascii="Arial" w:hAnsi="Arial" w:cs="Arial"/>
          <w:sz w:val="24"/>
          <w:szCs w:val="24"/>
        </w:rPr>
        <w:t xml:space="preserve"> (i.e. blowdown or dead standing timber)</w:t>
      </w:r>
      <w:r w:rsidR="00B67070">
        <w:rPr>
          <w:rFonts w:ascii="Arial" w:hAnsi="Arial" w:cs="Arial"/>
          <w:sz w:val="24"/>
          <w:szCs w:val="24"/>
        </w:rPr>
        <w:t xml:space="preserve">, strong </w:t>
      </w:r>
      <w:r w:rsidR="00B67070" w:rsidRPr="00B67070">
        <w:rPr>
          <w:rFonts w:ascii="Arial" w:hAnsi="Arial" w:cs="Arial"/>
          <w:sz w:val="24"/>
          <w:szCs w:val="24"/>
        </w:rPr>
        <w:t>local winds</w:t>
      </w:r>
      <w:r w:rsidR="00B67070">
        <w:rPr>
          <w:rFonts w:ascii="Arial" w:hAnsi="Arial" w:cs="Arial"/>
          <w:sz w:val="24"/>
          <w:szCs w:val="24"/>
        </w:rPr>
        <w:t>,</w:t>
      </w:r>
      <w:r w:rsidR="00B67070" w:rsidRPr="00B67070">
        <w:rPr>
          <w:rFonts w:ascii="Arial" w:hAnsi="Arial" w:cs="Arial"/>
          <w:sz w:val="24"/>
          <w:szCs w:val="24"/>
        </w:rPr>
        <w:t xml:space="preserve"> fire history</w:t>
      </w:r>
      <w:r w:rsidR="002926FC">
        <w:rPr>
          <w:rFonts w:ascii="Arial" w:hAnsi="Arial" w:cs="Arial"/>
          <w:sz w:val="24"/>
          <w:szCs w:val="24"/>
        </w:rPr>
        <w:t xml:space="preserve"> </w:t>
      </w:r>
      <w:r w:rsidR="00B67070">
        <w:rPr>
          <w:rFonts w:ascii="Arial" w:hAnsi="Arial" w:cs="Arial"/>
          <w:sz w:val="24"/>
          <w:szCs w:val="24"/>
        </w:rPr>
        <w:t xml:space="preserve">in the vicinity </w:t>
      </w:r>
      <w:r w:rsidR="002926FC">
        <w:rPr>
          <w:rFonts w:ascii="Arial" w:hAnsi="Arial" w:cs="Arial"/>
          <w:sz w:val="24"/>
          <w:szCs w:val="24"/>
        </w:rPr>
        <w:t xml:space="preserve">and values at risk such as private residences, important infrastructure, </w:t>
      </w:r>
      <w:r w:rsidR="0061003C">
        <w:rPr>
          <w:rFonts w:ascii="Arial" w:hAnsi="Arial" w:cs="Arial"/>
          <w:sz w:val="24"/>
          <w:szCs w:val="24"/>
        </w:rPr>
        <w:t>parks</w:t>
      </w:r>
      <w:r w:rsidR="00B67070">
        <w:rPr>
          <w:rFonts w:ascii="Arial" w:hAnsi="Arial" w:cs="Arial"/>
          <w:sz w:val="24"/>
          <w:szCs w:val="24"/>
        </w:rPr>
        <w:t>,</w:t>
      </w:r>
      <w:r w:rsidR="0061003C">
        <w:rPr>
          <w:rFonts w:ascii="Arial" w:hAnsi="Arial" w:cs="Arial"/>
          <w:sz w:val="24"/>
          <w:szCs w:val="24"/>
        </w:rPr>
        <w:t xml:space="preserve"> </w:t>
      </w:r>
      <w:r w:rsidR="00A51161">
        <w:rPr>
          <w:rFonts w:ascii="Arial" w:hAnsi="Arial" w:cs="Arial"/>
          <w:sz w:val="24"/>
          <w:szCs w:val="24"/>
        </w:rPr>
        <w:t xml:space="preserve">trails, </w:t>
      </w:r>
      <w:r w:rsidR="0061003C">
        <w:rPr>
          <w:rFonts w:ascii="Arial" w:hAnsi="Arial" w:cs="Arial"/>
          <w:sz w:val="24"/>
          <w:szCs w:val="24"/>
        </w:rPr>
        <w:t>recreation feat</w:t>
      </w:r>
      <w:r w:rsidR="000E1E00">
        <w:rPr>
          <w:rFonts w:ascii="Arial" w:hAnsi="Arial" w:cs="Arial"/>
          <w:sz w:val="24"/>
          <w:szCs w:val="24"/>
        </w:rPr>
        <w:t>ures</w:t>
      </w:r>
      <w:r w:rsidR="0043505A">
        <w:rPr>
          <w:rFonts w:ascii="Arial" w:hAnsi="Arial" w:cs="Arial"/>
          <w:sz w:val="24"/>
          <w:szCs w:val="24"/>
        </w:rPr>
        <w:t xml:space="preserve">, fish or wildlife </w:t>
      </w:r>
      <w:r w:rsidR="00A51161">
        <w:rPr>
          <w:rFonts w:ascii="Arial" w:hAnsi="Arial" w:cs="Arial"/>
          <w:sz w:val="24"/>
          <w:szCs w:val="24"/>
        </w:rPr>
        <w:t>habitat</w:t>
      </w:r>
      <w:r w:rsidR="00226961">
        <w:rPr>
          <w:rFonts w:ascii="Arial" w:hAnsi="Arial" w:cs="Arial"/>
          <w:sz w:val="24"/>
          <w:szCs w:val="24"/>
        </w:rPr>
        <w:t>, timber values</w:t>
      </w:r>
      <w:r w:rsidR="00A51161">
        <w:rPr>
          <w:rFonts w:ascii="Arial" w:hAnsi="Arial" w:cs="Arial"/>
          <w:sz w:val="24"/>
          <w:szCs w:val="24"/>
        </w:rPr>
        <w:t xml:space="preserve"> and other </w:t>
      </w:r>
      <w:r w:rsidR="0043505A">
        <w:rPr>
          <w:rFonts w:ascii="Arial" w:hAnsi="Arial" w:cs="Arial"/>
          <w:sz w:val="24"/>
          <w:szCs w:val="24"/>
        </w:rPr>
        <w:t>values</w:t>
      </w:r>
      <w:r w:rsidR="00A51161">
        <w:rPr>
          <w:rFonts w:ascii="Arial" w:hAnsi="Arial" w:cs="Arial"/>
          <w:sz w:val="24"/>
          <w:szCs w:val="24"/>
        </w:rPr>
        <w:t xml:space="preserve"> to society.</w:t>
      </w:r>
      <w:r w:rsidR="0043505A">
        <w:rPr>
          <w:rFonts w:ascii="Arial" w:hAnsi="Arial" w:cs="Arial"/>
          <w:sz w:val="24"/>
          <w:szCs w:val="24"/>
        </w:rPr>
        <w:t xml:space="preserve"> </w:t>
      </w:r>
    </w:p>
    <w:p w14:paraId="7270D25B" w14:textId="2878B7BE" w:rsidR="00A71CF9" w:rsidRDefault="00B1745C" w:rsidP="00EF5A8E">
      <w:pPr>
        <w:rPr>
          <w:rFonts w:ascii="Arial" w:hAnsi="Arial" w:cs="Arial"/>
          <w:sz w:val="24"/>
          <w:szCs w:val="24"/>
        </w:rPr>
      </w:pPr>
      <w:r>
        <w:rPr>
          <w:rFonts w:ascii="Arial" w:hAnsi="Arial" w:cs="Arial"/>
          <w:sz w:val="24"/>
          <w:szCs w:val="24"/>
        </w:rPr>
        <w:t>The</w:t>
      </w:r>
      <w:r w:rsidRPr="00B1745C">
        <w:t xml:space="preserve"> </w:t>
      </w:r>
      <w:r w:rsidRPr="00B1745C">
        <w:rPr>
          <w:rFonts w:ascii="Arial" w:hAnsi="Arial" w:cs="Arial"/>
          <w:sz w:val="24"/>
          <w:szCs w:val="24"/>
        </w:rPr>
        <w:t>BC Post Harvest Hazard Abatement Fire Risk Map</w:t>
      </w:r>
      <w:r>
        <w:t xml:space="preserve"> </w:t>
      </w:r>
      <w:r w:rsidRPr="00B1745C">
        <w:rPr>
          <w:rFonts w:ascii="Arial" w:hAnsi="Arial" w:cs="Arial"/>
          <w:sz w:val="24"/>
          <w:szCs w:val="24"/>
        </w:rPr>
        <w:t>could also be referred to at the following website to obtain an indication of how the BC Wildfire Service rates the relative fire risk of the harvest area</w:t>
      </w:r>
      <w:r w:rsidR="002C712C">
        <w:rPr>
          <w:rFonts w:ascii="Arial" w:hAnsi="Arial" w:cs="Arial"/>
          <w:sz w:val="24"/>
          <w:szCs w:val="24"/>
        </w:rPr>
        <w:t xml:space="preserve"> based on proximity to communities</w:t>
      </w:r>
      <w:r w:rsidRPr="00B1745C">
        <w:rPr>
          <w:rFonts w:ascii="Arial" w:hAnsi="Arial" w:cs="Arial"/>
          <w:sz w:val="24"/>
          <w:szCs w:val="24"/>
        </w:rPr>
        <w:t>:</w:t>
      </w:r>
      <w:r>
        <w:t xml:space="preserve"> </w:t>
      </w:r>
      <w:r w:rsidRPr="00B1745C">
        <w:t xml:space="preserve"> </w:t>
      </w:r>
      <w:hyperlink r:id="rId8" w:history="1">
        <w:r w:rsidRPr="00B1745C">
          <w:rPr>
            <w:color w:val="0000FF"/>
            <w:u w:val="single"/>
          </w:rPr>
          <w:t>https://catalogue.data.gov.bc.ca/dataset/bc-wildfire-post-harvest-hazard-abatement-map</w:t>
        </w:r>
      </w:hyperlink>
      <w:r>
        <w:rPr>
          <w:rFonts w:ascii="Arial" w:hAnsi="Arial" w:cs="Arial"/>
          <w:sz w:val="24"/>
          <w:szCs w:val="24"/>
        </w:rPr>
        <w:t xml:space="preserve"> </w:t>
      </w:r>
    </w:p>
    <w:p w14:paraId="6D42ED09" w14:textId="4990B9F3" w:rsidR="00C938EC" w:rsidRPr="005E1D2E" w:rsidRDefault="00921129" w:rsidP="00EF5A8E">
      <w:pPr>
        <w:rPr>
          <w:rFonts w:ascii="Times New Roman" w:eastAsia="Times New Roman" w:hAnsi="Times New Roman" w:cs="Times New Roman"/>
          <w:bCs/>
          <w:i/>
          <w:iCs/>
          <w:sz w:val="28"/>
          <w:szCs w:val="28"/>
          <w:lang w:val="en-CA" w:eastAsia="en-CA"/>
        </w:rPr>
      </w:pPr>
      <w:r>
        <w:rPr>
          <w:rFonts w:ascii="Arial" w:hAnsi="Arial" w:cs="Arial"/>
          <w:sz w:val="24"/>
          <w:szCs w:val="24"/>
        </w:rPr>
        <w:t xml:space="preserve">The points for all factors </w:t>
      </w:r>
      <w:r w:rsidR="00226961">
        <w:rPr>
          <w:rFonts w:ascii="Arial" w:hAnsi="Arial" w:cs="Arial"/>
          <w:sz w:val="24"/>
          <w:szCs w:val="24"/>
        </w:rPr>
        <w:t>(including the fuel hazard factors)</w:t>
      </w:r>
      <w:r w:rsidR="00A71CF9">
        <w:rPr>
          <w:rFonts w:ascii="Arial" w:hAnsi="Arial" w:cs="Arial"/>
          <w:sz w:val="24"/>
          <w:szCs w:val="24"/>
        </w:rPr>
        <w:t>,</w:t>
      </w:r>
      <w:r w:rsidR="00226961">
        <w:rPr>
          <w:rFonts w:ascii="Arial" w:hAnsi="Arial" w:cs="Arial"/>
          <w:sz w:val="24"/>
          <w:szCs w:val="24"/>
        </w:rPr>
        <w:t xml:space="preserve"> </w:t>
      </w:r>
      <w:r>
        <w:rPr>
          <w:rFonts w:ascii="Arial" w:hAnsi="Arial" w:cs="Arial"/>
          <w:sz w:val="24"/>
          <w:szCs w:val="24"/>
        </w:rPr>
        <w:t xml:space="preserve">are then added to obtain the Fire Hazard Assessment Total which should guide and justify </w:t>
      </w:r>
      <w:r w:rsidR="00FC622D">
        <w:rPr>
          <w:rFonts w:ascii="Arial" w:hAnsi="Arial" w:cs="Arial"/>
          <w:sz w:val="24"/>
          <w:szCs w:val="24"/>
        </w:rPr>
        <w:t>any</w:t>
      </w:r>
      <w:r>
        <w:rPr>
          <w:rFonts w:ascii="Arial" w:hAnsi="Arial" w:cs="Arial"/>
          <w:sz w:val="24"/>
          <w:szCs w:val="24"/>
        </w:rPr>
        <w:t xml:space="preserve"> fire hazard abatement treatments that are described. </w:t>
      </w:r>
      <w:r w:rsidR="00E20617">
        <w:rPr>
          <w:rFonts w:ascii="Arial" w:hAnsi="Arial" w:cs="Arial"/>
          <w:sz w:val="24"/>
          <w:szCs w:val="24"/>
        </w:rPr>
        <w:t xml:space="preserve"> </w:t>
      </w:r>
      <w:r w:rsidR="00850C79">
        <w:rPr>
          <w:rFonts w:ascii="Arial" w:hAnsi="Arial" w:cs="Arial"/>
          <w:sz w:val="24"/>
          <w:szCs w:val="24"/>
        </w:rPr>
        <w:t>For example, if the “</w:t>
      </w:r>
      <w:r w:rsidR="00850C79" w:rsidRPr="001307D9">
        <w:rPr>
          <w:b/>
          <w:sz w:val="24"/>
          <w:szCs w:val="24"/>
        </w:rPr>
        <w:t xml:space="preserve">Fuel Hazard Rating for </w:t>
      </w:r>
      <w:r w:rsidR="00850C79" w:rsidRPr="00067267">
        <w:rPr>
          <w:b/>
          <w:sz w:val="24"/>
          <w:szCs w:val="24"/>
        </w:rPr>
        <w:t>Dispersed Slash</w:t>
      </w:r>
      <w:r w:rsidR="00850C79" w:rsidRPr="00067267">
        <w:rPr>
          <w:rFonts w:ascii="Arial" w:hAnsi="Arial" w:cs="Arial"/>
          <w:sz w:val="24"/>
          <w:szCs w:val="24"/>
        </w:rPr>
        <w:t>”</w:t>
      </w:r>
      <w:r w:rsidR="00850C79" w:rsidRPr="00067267">
        <w:rPr>
          <w:rFonts w:ascii="Arial" w:hAnsi="Arial" w:cs="Arial"/>
          <w:b/>
          <w:sz w:val="24"/>
          <w:szCs w:val="24"/>
        </w:rPr>
        <w:t xml:space="preserve"> </w:t>
      </w:r>
      <w:r w:rsidR="001307D9" w:rsidRPr="00067267">
        <w:rPr>
          <w:rFonts w:ascii="Arial" w:hAnsi="Arial" w:cs="Arial"/>
          <w:sz w:val="24"/>
          <w:szCs w:val="24"/>
        </w:rPr>
        <w:t xml:space="preserve">is just below 14 but the </w:t>
      </w:r>
      <w:r w:rsidR="00E35235" w:rsidRPr="00067267">
        <w:rPr>
          <w:rFonts w:ascii="Arial" w:hAnsi="Arial" w:cs="Arial"/>
          <w:sz w:val="24"/>
          <w:szCs w:val="24"/>
        </w:rPr>
        <w:t xml:space="preserve">points for </w:t>
      </w:r>
      <w:r w:rsidR="001307D9" w:rsidRPr="00067267">
        <w:rPr>
          <w:rFonts w:ascii="Arial" w:hAnsi="Arial" w:cs="Arial"/>
          <w:sz w:val="24"/>
          <w:szCs w:val="24"/>
        </w:rPr>
        <w:t>average slope, aspect, special factors or values at risk cause the “</w:t>
      </w:r>
      <w:r w:rsidR="00E35235" w:rsidRPr="00067267">
        <w:rPr>
          <w:rFonts w:cs="Arial"/>
          <w:b/>
          <w:bCs/>
          <w:sz w:val="24"/>
          <w:szCs w:val="24"/>
        </w:rPr>
        <w:t>Fire Hazard Assessment Total</w:t>
      </w:r>
      <w:r w:rsidR="00E35235" w:rsidRPr="00067267">
        <w:rPr>
          <w:rFonts w:ascii="Arial" w:hAnsi="Arial" w:cs="Arial"/>
          <w:bCs/>
          <w:sz w:val="24"/>
          <w:szCs w:val="24"/>
        </w:rPr>
        <w:t>”</w:t>
      </w:r>
      <w:r w:rsidR="001307D9" w:rsidRPr="00067267">
        <w:rPr>
          <w:rFonts w:ascii="Arial" w:hAnsi="Arial" w:cs="Arial"/>
          <w:sz w:val="24"/>
          <w:szCs w:val="24"/>
        </w:rPr>
        <w:t xml:space="preserve"> </w:t>
      </w:r>
      <w:r w:rsidR="00E35235" w:rsidRPr="00067267">
        <w:rPr>
          <w:rFonts w:ascii="Arial" w:hAnsi="Arial" w:cs="Arial"/>
          <w:sz w:val="24"/>
          <w:szCs w:val="24"/>
        </w:rPr>
        <w:t xml:space="preserve">to exceed 26 points (HIGH), there is </w:t>
      </w:r>
      <w:r w:rsidR="00B25272" w:rsidRPr="00067267">
        <w:rPr>
          <w:rFonts w:ascii="Arial" w:hAnsi="Arial" w:cs="Arial"/>
          <w:sz w:val="24"/>
          <w:szCs w:val="24"/>
        </w:rPr>
        <w:t xml:space="preserve">most </w:t>
      </w:r>
      <w:r w:rsidR="00E35235" w:rsidRPr="00067267">
        <w:rPr>
          <w:rFonts w:ascii="Arial" w:hAnsi="Arial" w:cs="Arial"/>
          <w:sz w:val="24"/>
          <w:szCs w:val="24"/>
        </w:rPr>
        <w:t>likely a need for fire abatement treatments to reduce the fuel hazard rating particularly if there are nearby values at risk li</w:t>
      </w:r>
      <w:r w:rsidR="009C3B7F" w:rsidRPr="00067267">
        <w:rPr>
          <w:rFonts w:ascii="Arial" w:hAnsi="Arial" w:cs="Arial"/>
          <w:sz w:val="24"/>
          <w:szCs w:val="24"/>
        </w:rPr>
        <w:t>k</w:t>
      </w:r>
      <w:r w:rsidR="00E35235" w:rsidRPr="00067267">
        <w:rPr>
          <w:rFonts w:ascii="Arial" w:hAnsi="Arial" w:cs="Arial"/>
          <w:sz w:val="24"/>
          <w:szCs w:val="24"/>
        </w:rPr>
        <w:t>e private</w:t>
      </w:r>
      <w:r w:rsidR="00B25272" w:rsidRPr="00067267">
        <w:rPr>
          <w:rFonts w:ascii="Arial" w:hAnsi="Arial" w:cs="Arial"/>
          <w:sz w:val="24"/>
          <w:szCs w:val="24"/>
        </w:rPr>
        <w:t>ly owned structures</w:t>
      </w:r>
      <w:r w:rsidR="00E35235">
        <w:rPr>
          <w:rFonts w:ascii="Arial" w:hAnsi="Arial" w:cs="Arial"/>
          <w:sz w:val="24"/>
          <w:szCs w:val="24"/>
        </w:rPr>
        <w:t xml:space="preserve">. </w:t>
      </w:r>
      <w:r w:rsidR="00E20617" w:rsidRPr="00E35235">
        <w:rPr>
          <w:rFonts w:ascii="Arial" w:hAnsi="Arial" w:cs="Arial"/>
          <w:sz w:val="24"/>
          <w:szCs w:val="24"/>
        </w:rPr>
        <w:t xml:space="preserve"> </w:t>
      </w:r>
      <w:r w:rsidR="0043505A" w:rsidRPr="005E1D2E">
        <w:rPr>
          <w:rFonts w:ascii="Times New Roman" w:eastAsia="Times New Roman" w:hAnsi="Times New Roman" w:cs="Times New Roman"/>
          <w:bCs/>
          <w:i/>
          <w:iCs/>
          <w:sz w:val="28"/>
          <w:szCs w:val="28"/>
          <w:lang w:val="en-CA" w:eastAsia="en-CA"/>
        </w:rPr>
        <w:t xml:space="preserve"> </w:t>
      </w:r>
    </w:p>
    <w:p w14:paraId="1BC9A639" w14:textId="77777777" w:rsidR="009A6D16" w:rsidRDefault="009A6D16">
      <w:pPr>
        <w:rPr>
          <w:rFonts w:ascii="Times New Roman" w:eastAsia="Times New Roman" w:hAnsi="Times New Roman" w:cs="Times New Roman"/>
          <w:bCs/>
          <w:i/>
          <w:iCs/>
          <w:sz w:val="28"/>
          <w:szCs w:val="28"/>
          <w:lang w:val="en-CA" w:eastAsia="en-CA"/>
        </w:rPr>
      </w:pPr>
    </w:p>
    <w:p w14:paraId="2DBAB210" w14:textId="77777777" w:rsidR="0048674B" w:rsidRPr="0048674B" w:rsidRDefault="0048674B" w:rsidP="0048674B">
      <w:pPr>
        <w:rPr>
          <w:rFonts w:ascii="Bradley Hand ITC" w:eastAsia="Times New Roman" w:hAnsi="Bradley Hand ITC" w:cs="Times New Roman"/>
          <w:b/>
          <w:bCs/>
          <w:i/>
          <w:iCs/>
          <w:color w:val="2E74B5" w:themeColor="accent1" w:themeShade="BF"/>
          <w:sz w:val="28"/>
          <w:szCs w:val="28"/>
          <w:lang w:val="en-CA" w:eastAsia="en-CA"/>
        </w:rPr>
      </w:pPr>
      <w:r w:rsidRPr="0048674B">
        <w:rPr>
          <w:rFonts w:ascii="Bradley Hand ITC" w:eastAsia="Times New Roman" w:hAnsi="Bradley Hand ITC" w:cs="Times New Roman"/>
          <w:b/>
          <w:bCs/>
          <w:i/>
          <w:iCs/>
          <w:color w:val="2E74B5" w:themeColor="accent1" w:themeShade="BF"/>
          <w:sz w:val="28"/>
          <w:szCs w:val="28"/>
          <w:lang w:val="en-CA" w:eastAsia="en-CA"/>
        </w:rPr>
        <w:t>Alan John Waters</w:t>
      </w:r>
    </w:p>
    <w:p w14:paraId="74618564" w14:textId="66FCA49F" w:rsidR="00955F10" w:rsidRPr="00B27CF0" w:rsidRDefault="00955F10">
      <w:pPr>
        <w:rPr>
          <w:rFonts w:ascii="Times New Roman" w:eastAsia="Times New Roman" w:hAnsi="Times New Roman" w:cs="Times New Roman"/>
          <w:bCs/>
          <w:i/>
          <w:iCs/>
          <w:sz w:val="28"/>
          <w:szCs w:val="28"/>
          <w:lang w:val="en-CA" w:eastAsia="en-CA"/>
        </w:rPr>
      </w:pPr>
      <w:r w:rsidRPr="00B27CF0">
        <w:rPr>
          <w:rFonts w:ascii="Times New Roman" w:eastAsia="Times New Roman" w:hAnsi="Times New Roman" w:cs="Times New Roman"/>
          <w:bCs/>
          <w:sz w:val="28"/>
          <w:szCs w:val="28"/>
          <w:lang w:val="en-CA" w:eastAsia="en-CA"/>
        </w:rPr>
        <w:t>Alan Waters RPF</w:t>
      </w:r>
      <w:r w:rsidR="00EC2A8F">
        <w:rPr>
          <w:rFonts w:ascii="Times New Roman" w:eastAsia="Times New Roman" w:hAnsi="Times New Roman" w:cs="Times New Roman"/>
          <w:bCs/>
          <w:sz w:val="28"/>
          <w:szCs w:val="28"/>
          <w:lang w:val="en-CA" w:eastAsia="en-CA"/>
        </w:rPr>
        <w:t>#</w:t>
      </w:r>
      <w:r>
        <w:rPr>
          <w:rFonts w:ascii="Times New Roman" w:eastAsia="Times New Roman" w:hAnsi="Times New Roman" w:cs="Times New Roman"/>
          <w:bCs/>
          <w:sz w:val="28"/>
          <w:szCs w:val="28"/>
          <w:lang w:val="en-CA" w:eastAsia="en-CA"/>
        </w:rPr>
        <w:tab/>
      </w:r>
      <w:r w:rsidR="00B27CF0">
        <w:rPr>
          <w:rFonts w:ascii="Times New Roman" w:eastAsia="Times New Roman" w:hAnsi="Times New Roman" w:cs="Times New Roman"/>
          <w:bCs/>
          <w:sz w:val="28"/>
          <w:szCs w:val="28"/>
          <w:lang w:val="en-CA" w:eastAsia="en-CA"/>
        </w:rPr>
        <w:t>1495</w:t>
      </w:r>
      <w:r>
        <w:rPr>
          <w:rFonts w:ascii="Times New Roman" w:eastAsia="Times New Roman" w:hAnsi="Times New Roman" w:cs="Times New Roman"/>
          <w:bCs/>
          <w:sz w:val="28"/>
          <w:szCs w:val="28"/>
          <w:lang w:val="en-CA" w:eastAsia="en-CA"/>
        </w:rPr>
        <w:tab/>
      </w:r>
      <w:r w:rsidR="00B27CF0">
        <w:rPr>
          <w:rFonts w:ascii="Times New Roman" w:eastAsia="Times New Roman" w:hAnsi="Times New Roman" w:cs="Times New Roman"/>
          <w:bCs/>
          <w:sz w:val="28"/>
          <w:szCs w:val="28"/>
          <w:lang w:val="en-CA" w:eastAsia="en-CA"/>
        </w:rPr>
        <w:tab/>
      </w:r>
      <w:r w:rsidR="00067267">
        <w:rPr>
          <w:rFonts w:ascii="Times New Roman" w:eastAsia="Times New Roman" w:hAnsi="Times New Roman" w:cs="Times New Roman"/>
          <w:bCs/>
          <w:iCs/>
          <w:sz w:val="28"/>
          <w:szCs w:val="28"/>
          <w:lang w:val="en-CA" w:eastAsia="en-CA"/>
        </w:rPr>
        <w:t>June</w:t>
      </w:r>
      <w:r w:rsidR="00B27CF0" w:rsidRPr="000D05DB">
        <w:rPr>
          <w:rFonts w:ascii="Times New Roman" w:eastAsia="Times New Roman" w:hAnsi="Times New Roman" w:cs="Times New Roman"/>
          <w:bCs/>
          <w:iCs/>
          <w:sz w:val="28"/>
          <w:szCs w:val="28"/>
          <w:lang w:val="en-CA" w:eastAsia="en-CA"/>
        </w:rPr>
        <w:t xml:space="preserve"> </w:t>
      </w:r>
      <w:r w:rsidR="00067267">
        <w:rPr>
          <w:rFonts w:ascii="Times New Roman" w:eastAsia="Times New Roman" w:hAnsi="Times New Roman" w:cs="Times New Roman"/>
          <w:bCs/>
          <w:iCs/>
          <w:sz w:val="28"/>
          <w:szCs w:val="28"/>
          <w:lang w:val="en-CA" w:eastAsia="en-CA"/>
        </w:rPr>
        <w:t>1</w:t>
      </w:r>
      <w:r w:rsidR="00EC2A8F" w:rsidRPr="000D05DB">
        <w:rPr>
          <w:rFonts w:ascii="Times New Roman" w:eastAsia="Times New Roman" w:hAnsi="Times New Roman" w:cs="Times New Roman"/>
          <w:bCs/>
          <w:iCs/>
          <w:sz w:val="28"/>
          <w:szCs w:val="28"/>
          <w:lang w:val="en-CA" w:eastAsia="en-CA"/>
        </w:rPr>
        <w:t>5</w:t>
      </w:r>
      <w:r w:rsidRPr="000D05DB">
        <w:rPr>
          <w:rFonts w:ascii="Times New Roman" w:eastAsia="Times New Roman" w:hAnsi="Times New Roman" w:cs="Times New Roman"/>
          <w:bCs/>
          <w:iCs/>
          <w:sz w:val="28"/>
          <w:szCs w:val="28"/>
          <w:lang w:val="en-CA" w:eastAsia="en-CA"/>
        </w:rPr>
        <w:t>, 2020</w:t>
      </w:r>
      <w:r w:rsidR="00EC2A8F" w:rsidRPr="000D05DB">
        <w:rPr>
          <w:rFonts w:ascii="Times New Roman" w:eastAsia="Times New Roman" w:hAnsi="Times New Roman" w:cs="Times New Roman"/>
          <w:bCs/>
          <w:iCs/>
          <w:sz w:val="28"/>
          <w:szCs w:val="28"/>
          <w:lang w:val="en-CA" w:eastAsia="en-CA"/>
        </w:rPr>
        <w:t>.</w:t>
      </w:r>
    </w:p>
    <w:p w14:paraId="3B8C5566" w14:textId="50214AB8" w:rsidR="00A71CF9" w:rsidRPr="00B27CF0" w:rsidRDefault="00955F10">
      <w:pPr>
        <w:rPr>
          <w:rFonts w:ascii="Times New Roman" w:eastAsia="Times New Roman" w:hAnsi="Times New Roman" w:cs="Times New Roman"/>
          <w:bCs/>
          <w:sz w:val="28"/>
          <w:szCs w:val="28"/>
          <w:lang w:val="en-CA" w:eastAsia="en-CA"/>
        </w:rPr>
      </w:pPr>
      <w:r>
        <w:rPr>
          <w:rFonts w:ascii="Times New Roman" w:eastAsia="Times New Roman" w:hAnsi="Times New Roman" w:cs="Times New Roman"/>
          <w:bCs/>
          <w:sz w:val="28"/>
          <w:szCs w:val="28"/>
          <w:lang w:val="en-CA" w:eastAsia="en-CA"/>
        </w:rPr>
        <w:t>Woodlot Licensee</w:t>
      </w:r>
      <w:r w:rsidR="00A71CF9" w:rsidRPr="00B27CF0">
        <w:rPr>
          <w:rFonts w:ascii="Times New Roman" w:eastAsia="Times New Roman" w:hAnsi="Times New Roman" w:cs="Times New Roman"/>
          <w:bCs/>
          <w:sz w:val="28"/>
          <w:szCs w:val="28"/>
          <w:lang w:val="en-CA" w:eastAsia="en-CA"/>
        </w:rPr>
        <w:br w:type="page"/>
      </w:r>
    </w:p>
    <w:p w14:paraId="6A2F252B" w14:textId="77777777" w:rsidR="00C938EC" w:rsidRPr="00BE0134" w:rsidRDefault="00C938EC" w:rsidP="00C938EC">
      <w:pPr>
        <w:pStyle w:val="Header"/>
        <w:tabs>
          <w:tab w:val="clear" w:pos="4320"/>
          <w:tab w:val="clear" w:pos="8640"/>
        </w:tabs>
        <w:jc w:val="center"/>
        <w:rPr>
          <w:b/>
          <w:sz w:val="28"/>
          <w:szCs w:val="28"/>
        </w:rPr>
      </w:pPr>
      <w:r w:rsidRPr="00BE0134">
        <w:rPr>
          <w:b/>
          <w:sz w:val="28"/>
          <w:szCs w:val="28"/>
        </w:rPr>
        <w:lastRenderedPageBreak/>
        <w:t>Fire Hazard Assessment Template</w:t>
      </w:r>
    </w:p>
    <w:p w14:paraId="2DB1DB2F" w14:textId="03D3BB51" w:rsidR="00C938EC" w:rsidRPr="00B20965" w:rsidRDefault="00C938EC" w:rsidP="00C938EC">
      <w:pPr>
        <w:pStyle w:val="Header"/>
        <w:tabs>
          <w:tab w:val="clear" w:pos="4320"/>
          <w:tab w:val="clear" w:pos="8640"/>
        </w:tabs>
        <w:rPr>
          <w:b/>
          <w:sz w:val="22"/>
          <w:szCs w:val="22"/>
        </w:rPr>
      </w:pPr>
      <w:r>
        <w:rPr>
          <w:b/>
          <w:sz w:val="22"/>
          <w:szCs w:val="22"/>
        </w:rPr>
        <w:t xml:space="preserve">Woodlot: __________________ </w:t>
      </w:r>
      <w:r w:rsidRPr="00B20965">
        <w:rPr>
          <w:b/>
          <w:sz w:val="22"/>
          <w:szCs w:val="22"/>
        </w:rPr>
        <w:t>CP:</w:t>
      </w:r>
      <w:r>
        <w:rPr>
          <w:b/>
          <w:sz w:val="22"/>
          <w:szCs w:val="22"/>
        </w:rPr>
        <w:t xml:space="preserve"> </w:t>
      </w:r>
      <w:r w:rsidRPr="00B20965">
        <w:rPr>
          <w:b/>
          <w:sz w:val="22"/>
          <w:szCs w:val="22"/>
        </w:rPr>
        <w:t>__________________</w:t>
      </w:r>
      <w:r>
        <w:rPr>
          <w:b/>
          <w:sz w:val="22"/>
          <w:szCs w:val="22"/>
        </w:rPr>
        <w:t xml:space="preserve"> </w:t>
      </w:r>
      <w:r w:rsidRPr="00B20965">
        <w:rPr>
          <w:b/>
          <w:sz w:val="22"/>
          <w:szCs w:val="22"/>
        </w:rPr>
        <w:t>Block</w:t>
      </w:r>
      <w:r w:rsidR="009856B6">
        <w:rPr>
          <w:b/>
          <w:sz w:val="22"/>
          <w:szCs w:val="22"/>
        </w:rPr>
        <w:t xml:space="preserve"> and or Road</w:t>
      </w:r>
      <w:r w:rsidRPr="00B20965">
        <w:rPr>
          <w:b/>
          <w:sz w:val="22"/>
          <w:szCs w:val="22"/>
        </w:rPr>
        <w:t>:</w:t>
      </w:r>
      <w:r>
        <w:rPr>
          <w:b/>
          <w:sz w:val="22"/>
          <w:szCs w:val="22"/>
        </w:rPr>
        <w:t xml:space="preserve"> </w:t>
      </w:r>
      <w:r w:rsidRPr="00B20965">
        <w:rPr>
          <w:b/>
          <w:sz w:val="22"/>
          <w:szCs w:val="22"/>
        </w:rPr>
        <w:t>_______</w:t>
      </w:r>
      <w:r>
        <w:rPr>
          <w:b/>
          <w:sz w:val="22"/>
          <w:szCs w:val="22"/>
        </w:rPr>
        <w:t>_____</w:t>
      </w:r>
      <w:r w:rsidRPr="00B20965">
        <w:rPr>
          <w:b/>
          <w:sz w:val="22"/>
          <w:szCs w:val="22"/>
        </w:rPr>
        <w:t>__</w:t>
      </w:r>
    </w:p>
    <w:p w14:paraId="1B325785" w14:textId="77777777" w:rsidR="00C938EC" w:rsidRPr="00B20965" w:rsidRDefault="00C938EC" w:rsidP="00C938EC">
      <w:pPr>
        <w:pStyle w:val="Header"/>
        <w:tabs>
          <w:tab w:val="clear" w:pos="4320"/>
          <w:tab w:val="clear" w:pos="8640"/>
        </w:tabs>
        <w:rPr>
          <w:b/>
          <w:sz w:val="22"/>
          <w:szCs w:val="22"/>
        </w:rPr>
      </w:pPr>
      <w:r w:rsidRPr="00B20965">
        <w:rPr>
          <w:b/>
          <w:sz w:val="22"/>
          <w:szCs w:val="22"/>
        </w:rPr>
        <w:t>Licensee: __________________________________________</w:t>
      </w:r>
    </w:p>
    <w:p w14:paraId="75543AB1" w14:textId="77777777" w:rsidR="00C938EC" w:rsidRPr="000E1E00" w:rsidRDefault="00C938EC" w:rsidP="00C938EC">
      <w:pPr>
        <w:pStyle w:val="Header"/>
        <w:tabs>
          <w:tab w:val="clear" w:pos="4320"/>
          <w:tab w:val="clear" w:pos="8640"/>
        </w:tabs>
        <w:rPr>
          <w:b/>
          <w:sz w:val="8"/>
          <w:szCs w:val="8"/>
        </w:rPr>
      </w:pP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10"/>
        <w:gridCol w:w="2012"/>
        <w:gridCol w:w="115"/>
        <w:gridCol w:w="1333"/>
        <w:gridCol w:w="467"/>
        <w:gridCol w:w="1073"/>
        <w:gridCol w:w="842"/>
        <w:gridCol w:w="698"/>
        <w:gridCol w:w="1470"/>
      </w:tblGrid>
      <w:tr w:rsidR="00C938EC" w:rsidRPr="008C557C" w14:paraId="334EFDA1" w14:textId="77777777" w:rsidTr="009D31FC">
        <w:trPr>
          <w:cantSplit/>
          <w:trHeight w:val="528"/>
        </w:trPr>
        <w:tc>
          <w:tcPr>
            <w:tcW w:w="1710" w:type="dxa"/>
            <w:tcBorders>
              <w:top w:val="single" w:sz="12" w:space="0" w:color="auto"/>
              <w:bottom w:val="single" w:sz="12" w:space="0" w:color="auto"/>
            </w:tcBorders>
          </w:tcPr>
          <w:p w14:paraId="3B5C8D0A" w14:textId="77777777" w:rsidR="00C938EC" w:rsidRPr="00F179E8" w:rsidRDefault="00C938EC" w:rsidP="009D31FC">
            <w:pPr>
              <w:rPr>
                <w:b/>
                <w:sz w:val="20"/>
                <w:szCs w:val="20"/>
              </w:rPr>
            </w:pPr>
            <w:r w:rsidRPr="00F179E8">
              <w:rPr>
                <w:b/>
                <w:sz w:val="20"/>
                <w:szCs w:val="20"/>
              </w:rPr>
              <w:t>Fuel Hazard Factors</w:t>
            </w:r>
          </w:p>
        </w:tc>
        <w:tc>
          <w:tcPr>
            <w:tcW w:w="8010" w:type="dxa"/>
            <w:gridSpan w:val="8"/>
            <w:tcBorders>
              <w:top w:val="single" w:sz="12" w:space="0" w:color="auto"/>
              <w:bottom w:val="single" w:sz="12" w:space="0" w:color="auto"/>
            </w:tcBorders>
          </w:tcPr>
          <w:p w14:paraId="689B9278" w14:textId="77777777" w:rsidR="00C938EC" w:rsidRPr="00F179E8" w:rsidRDefault="00C938EC" w:rsidP="009D31FC">
            <w:pPr>
              <w:pStyle w:val="Heading1"/>
              <w:rPr>
                <w:b/>
                <w:sz w:val="20"/>
              </w:rPr>
            </w:pPr>
            <w:r w:rsidRPr="00F179E8">
              <w:rPr>
                <w:b/>
                <w:sz w:val="20"/>
              </w:rPr>
              <w:t>Fuel Characteristics and Point Rating</w:t>
            </w:r>
            <w:r w:rsidR="00E8020F">
              <w:rPr>
                <w:b/>
                <w:sz w:val="20"/>
              </w:rPr>
              <w:t xml:space="preserve"> for Dispersed Fuel </w:t>
            </w:r>
          </w:p>
        </w:tc>
      </w:tr>
      <w:tr w:rsidR="00C938EC" w:rsidRPr="008C557C" w14:paraId="0E669F57" w14:textId="77777777" w:rsidTr="00EC2A8F">
        <w:trPr>
          <w:trHeight w:val="708"/>
        </w:trPr>
        <w:tc>
          <w:tcPr>
            <w:tcW w:w="1710" w:type="dxa"/>
            <w:tcBorders>
              <w:top w:val="single" w:sz="12" w:space="0" w:color="auto"/>
            </w:tcBorders>
          </w:tcPr>
          <w:p w14:paraId="7864E2E0" w14:textId="77777777" w:rsidR="00C938EC" w:rsidRPr="00EF7F7A" w:rsidRDefault="00C938EC" w:rsidP="009D31FC">
            <w:pPr>
              <w:rPr>
                <w:b/>
                <w:sz w:val="20"/>
                <w:szCs w:val="20"/>
              </w:rPr>
            </w:pPr>
            <w:r w:rsidRPr="00EF7F7A">
              <w:rPr>
                <w:b/>
                <w:sz w:val="20"/>
                <w:szCs w:val="20"/>
              </w:rPr>
              <w:t>Fuel Depth</w:t>
            </w:r>
          </w:p>
        </w:tc>
        <w:tc>
          <w:tcPr>
            <w:tcW w:w="2012" w:type="dxa"/>
            <w:tcBorders>
              <w:top w:val="single" w:sz="12" w:space="0" w:color="auto"/>
            </w:tcBorders>
          </w:tcPr>
          <w:p w14:paraId="51609FF6" w14:textId="77777777" w:rsidR="00C938EC" w:rsidRPr="00EF7F7A" w:rsidRDefault="00C938EC" w:rsidP="009D31FC">
            <w:pPr>
              <w:jc w:val="center"/>
              <w:rPr>
                <w:b/>
                <w:sz w:val="20"/>
                <w:szCs w:val="20"/>
              </w:rPr>
            </w:pPr>
            <w:r w:rsidRPr="00EF7F7A">
              <w:rPr>
                <w:b/>
                <w:sz w:val="20"/>
                <w:szCs w:val="20"/>
              </w:rPr>
              <w:t>&lt;20 cm</w:t>
            </w:r>
            <w:r w:rsidRPr="00EF7F7A">
              <w:rPr>
                <w:b/>
                <w:sz w:val="20"/>
                <w:szCs w:val="20"/>
              </w:rPr>
              <w:br/>
            </w:r>
            <w:r w:rsidRPr="00EF7F7A">
              <w:rPr>
                <w:b/>
                <w:sz w:val="20"/>
                <w:szCs w:val="20"/>
              </w:rPr>
              <w:br/>
              <w:t>1</w:t>
            </w:r>
          </w:p>
        </w:tc>
        <w:tc>
          <w:tcPr>
            <w:tcW w:w="1915" w:type="dxa"/>
            <w:gridSpan w:val="3"/>
            <w:tcBorders>
              <w:top w:val="single" w:sz="12" w:space="0" w:color="auto"/>
            </w:tcBorders>
          </w:tcPr>
          <w:p w14:paraId="02E5927D" w14:textId="77777777" w:rsidR="00C938EC" w:rsidRPr="00EF7F7A" w:rsidRDefault="00C938EC" w:rsidP="009D31FC">
            <w:pPr>
              <w:jc w:val="center"/>
              <w:rPr>
                <w:b/>
                <w:sz w:val="20"/>
                <w:szCs w:val="20"/>
              </w:rPr>
            </w:pPr>
            <w:r w:rsidRPr="00EF7F7A">
              <w:rPr>
                <w:b/>
                <w:sz w:val="20"/>
                <w:szCs w:val="20"/>
              </w:rPr>
              <w:t>20 to 40cm</w:t>
            </w:r>
            <w:r w:rsidRPr="00EF7F7A">
              <w:rPr>
                <w:b/>
                <w:sz w:val="20"/>
                <w:szCs w:val="20"/>
              </w:rPr>
              <w:br/>
            </w:r>
            <w:r w:rsidRPr="00EF7F7A">
              <w:rPr>
                <w:b/>
                <w:sz w:val="20"/>
                <w:szCs w:val="20"/>
              </w:rPr>
              <w:br/>
              <w:t>3</w:t>
            </w:r>
          </w:p>
        </w:tc>
        <w:tc>
          <w:tcPr>
            <w:tcW w:w="1915" w:type="dxa"/>
            <w:gridSpan w:val="2"/>
            <w:tcBorders>
              <w:top w:val="single" w:sz="12" w:space="0" w:color="auto"/>
            </w:tcBorders>
          </w:tcPr>
          <w:p w14:paraId="3C316B06" w14:textId="77777777" w:rsidR="00C938EC" w:rsidRPr="00EF7F7A" w:rsidRDefault="00C938EC" w:rsidP="009D31FC">
            <w:pPr>
              <w:jc w:val="center"/>
              <w:rPr>
                <w:b/>
                <w:sz w:val="20"/>
                <w:szCs w:val="20"/>
              </w:rPr>
            </w:pPr>
            <w:r w:rsidRPr="00EF7F7A">
              <w:rPr>
                <w:b/>
                <w:sz w:val="20"/>
                <w:szCs w:val="20"/>
              </w:rPr>
              <w:t>40 to 60cm</w:t>
            </w:r>
            <w:r w:rsidRPr="00EF7F7A">
              <w:rPr>
                <w:b/>
                <w:sz w:val="20"/>
                <w:szCs w:val="20"/>
              </w:rPr>
              <w:br/>
            </w:r>
            <w:r w:rsidRPr="00EF7F7A">
              <w:rPr>
                <w:b/>
                <w:sz w:val="20"/>
                <w:szCs w:val="20"/>
              </w:rPr>
              <w:br/>
              <w:t>5</w:t>
            </w:r>
          </w:p>
        </w:tc>
        <w:tc>
          <w:tcPr>
            <w:tcW w:w="2168" w:type="dxa"/>
            <w:gridSpan w:val="2"/>
            <w:tcBorders>
              <w:top w:val="single" w:sz="12" w:space="0" w:color="auto"/>
            </w:tcBorders>
          </w:tcPr>
          <w:p w14:paraId="4EE3A610" w14:textId="77777777" w:rsidR="00C938EC" w:rsidRPr="00EF7F7A" w:rsidRDefault="00C938EC" w:rsidP="009D31FC">
            <w:pPr>
              <w:jc w:val="center"/>
              <w:rPr>
                <w:b/>
                <w:sz w:val="20"/>
                <w:szCs w:val="20"/>
              </w:rPr>
            </w:pPr>
            <w:r w:rsidRPr="00EF7F7A">
              <w:rPr>
                <w:b/>
                <w:sz w:val="20"/>
                <w:szCs w:val="20"/>
              </w:rPr>
              <w:t>&gt;60cm</w:t>
            </w:r>
            <w:r w:rsidRPr="00EF7F7A">
              <w:rPr>
                <w:b/>
                <w:sz w:val="20"/>
                <w:szCs w:val="20"/>
              </w:rPr>
              <w:br/>
            </w:r>
            <w:r w:rsidRPr="00EF7F7A">
              <w:rPr>
                <w:b/>
                <w:sz w:val="20"/>
                <w:szCs w:val="20"/>
              </w:rPr>
              <w:br/>
              <w:t>7</w:t>
            </w:r>
          </w:p>
        </w:tc>
      </w:tr>
      <w:tr w:rsidR="00C938EC" w:rsidRPr="008C557C" w14:paraId="73097EC5" w14:textId="77777777" w:rsidTr="009D31FC">
        <w:tc>
          <w:tcPr>
            <w:tcW w:w="1710" w:type="dxa"/>
          </w:tcPr>
          <w:p w14:paraId="11FB72D2" w14:textId="77777777" w:rsidR="00C938EC" w:rsidRPr="00EF7F7A" w:rsidRDefault="00C938EC" w:rsidP="009D31FC">
            <w:pPr>
              <w:rPr>
                <w:b/>
                <w:sz w:val="20"/>
                <w:szCs w:val="20"/>
              </w:rPr>
            </w:pPr>
            <w:r w:rsidRPr="00EF7F7A">
              <w:rPr>
                <w:b/>
                <w:sz w:val="20"/>
                <w:szCs w:val="20"/>
              </w:rPr>
              <w:t>Fuel Size</w:t>
            </w:r>
          </w:p>
          <w:p w14:paraId="7670AE30" w14:textId="77777777" w:rsidR="00C938EC" w:rsidRPr="00EF7F7A" w:rsidRDefault="00C938EC" w:rsidP="009D31FC">
            <w:pPr>
              <w:rPr>
                <w:b/>
                <w:sz w:val="20"/>
                <w:szCs w:val="20"/>
              </w:rPr>
            </w:pPr>
            <w:r w:rsidRPr="00EF7F7A">
              <w:rPr>
                <w:b/>
                <w:sz w:val="20"/>
                <w:szCs w:val="20"/>
              </w:rPr>
              <w:t>(% of all fuels that are &lt;7.1cm)</w:t>
            </w:r>
          </w:p>
        </w:tc>
        <w:tc>
          <w:tcPr>
            <w:tcW w:w="2012" w:type="dxa"/>
          </w:tcPr>
          <w:p w14:paraId="5BD767B7" w14:textId="77777777" w:rsidR="00C938EC" w:rsidRPr="00EF7F7A" w:rsidRDefault="00C938EC" w:rsidP="009D31FC">
            <w:pPr>
              <w:jc w:val="center"/>
              <w:rPr>
                <w:b/>
                <w:sz w:val="20"/>
                <w:szCs w:val="20"/>
              </w:rPr>
            </w:pPr>
            <w:r w:rsidRPr="00EF7F7A">
              <w:rPr>
                <w:b/>
                <w:sz w:val="20"/>
                <w:szCs w:val="20"/>
              </w:rPr>
              <w:t>&lt;15%</w:t>
            </w:r>
            <w:r w:rsidRPr="00EF7F7A">
              <w:rPr>
                <w:b/>
                <w:sz w:val="20"/>
                <w:szCs w:val="20"/>
              </w:rPr>
              <w:br/>
            </w:r>
            <w:r w:rsidRPr="00EF7F7A">
              <w:rPr>
                <w:b/>
                <w:sz w:val="20"/>
                <w:szCs w:val="20"/>
              </w:rPr>
              <w:br/>
              <w:t>1</w:t>
            </w:r>
          </w:p>
        </w:tc>
        <w:tc>
          <w:tcPr>
            <w:tcW w:w="1915" w:type="dxa"/>
            <w:gridSpan w:val="3"/>
          </w:tcPr>
          <w:p w14:paraId="71B2B01E" w14:textId="77777777" w:rsidR="00C938EC" w:rsidRPr="00EF7F7A" w:rsidRDefault="00C938EC" w:rsidP="009D31FC">
            <w:pPr>
              <w:jc w:val="center"/>
              <w:rPr>
                <w:b/>
                <w:sz w:val="20"/>
                <w:szCs w:val="20"/>
              </w:rPr>
            </w:pPr>
            <w:r w:rsidRPr="00EF7F7A">
              <w:rPr>
                <w:b/>
                <w:sz w:val="20"/>
                <w:szCs w:val="20"/>
              </w:rPr>
              <w:t>15 to 30%</w:t>
            </w:r>
            <w:r w:rsidRPr="00EF7F7A">
              <w:rPr>
                <w:b/>
                <w:sz w:val="20"/>
                <w:szCs w:val="20"/>
              </w:rPr>
              <w:br/>
            </w:r>
            <w:r w:rsidRPr="00EF7F7A">
              <w:rPr>
                <w:b/>
                <w:sz w:val="20"/>
                <w:szCs w:val="20"/>
              </w:rPr>
              <w:br/>
              <w:t>3</w:t>
            </w:r>
          </w:p>
        </w:tc>
        <w:tc>
          <w:tcPr>
            <w:tcW w:w="1915" w:type="dxa"/>
            <w:gridSpan w:val="2"/>
          </w:tcPr>
          <w:p w14:paraId="6F1B6A87" w14:textId="77777777" w:rsidR="00C938EC" w:rsidRPr="00EF7F7A" w:rsidRDefault="00C938EC" w:rsidP="009D31FC">
            <w:pPr>
              <w:jc w:val="center"/>
              <w:rPr>
                <w:b/>
                <w:sz w:val="20"/>
                <w:szCs w:val="20"/>
              </w:rPr>
            </w:pPr>
            <w:r w:rsidRPr="00EF7F7A">
              <w:rPr>
                <w:b/>
                <w:sz w:val="20"/>
                <w:szCs w:val="20"/>
              </w:rPr>
              <w:t>31 to 45%</w:t>
            </w:r>
            <w:r w:rsidRPr="00EF7F7A">
              <w:rPr>
                <w:b/>
                <w:sz w:val="20"/>
                <w:szCs w:val="20"/>
              </w:rPr>
              <w:br/>
            </w:r>
            <w:r w:rsidRPr="00EF7F7A">
              <w:rPr>
                <w:b/>
                <w:sz w:val="20"/>
                <w:szCs w:val="20"/>
              </w:rPr>
              <w:br/>
              <w:t>5</w:t>
            </w:r>
          </w:p>
        </w:tc>
        <w:tc>
          <w:tcPr>
            <w:tcW w:w="2168" w:type="dxa"/>
            <w:gridSpan w:val="2"/>
          </w:tcPr>
          <w:p w14:paraId="09D2B229" w14:textId="77777777" w:rsidR="00C938EC" w:rsidRPr="00EF7F7A" w:rsidRDefault="00C938EC" w:rsidP="009D31FC">
            <w:pPr>
              <w:jc w:val="center"/>
              <w:rPr>
                <w:b/>
                <w:sz w:val="20"/>
                <w:szCs w:val="20"/>
              </w:rPr>
            </w:pPr>
            <w:r w:rsidRPr="00EF7F7A">
              <w:rPr>
                <w:b/>
                <w:sz w:val="20"/>
                <w:szCs w:val="20"/>
              </w:rPr>
              <w:t>&gt;45%</w:t>
            </w:r>
            <w:r w:rsidRPr="00EF7F7A">
              <w:rPr>
                <w:b/>
                <w:sz w:val="20"/>
                <w:szCs w:val="20"/>
              </w:rPr>
              <w:br/>
            </w:r>
            <w:r w:rsidRPr="00EF7F7A">
              <w:rPr>
                <w:b/>
                <w:sz w:val="20"/>
                <w:szCs w:val="20"/>
              </w:rPr>
              <w:br/>
              <w:t>7</w:t>
            </w:r>
          </w:p>
        </w:tc>
      </w:tr>
      <w:tr w:rsidR="00C938EC" w:rsidRPr="008C557C" w14:paraId="0A669ADA" w14:textId="77777777" w:rsidTr="009D31FC">
        <w:tc>
          <w:tcPr>
            <w:tcW w:w="1710" w:type="dxa"/>
          </w:tcPr>
          <w:p w14:paraId="4E514E64" w14:textId="77777777" w:rsidR="00C938EC" w:rsidRPr="00EF7F7A" w:rsidRDefault="00C938EC" w:rsidP="009D31FC">
            <w:pPr>
              <w:rPr>
                <w:b/>
                <w:sz w:val="20"/>
                <w:szCs w:val="20"/>
              </w:rPr>
            </w:pPr>
            <w:r w:rsidRPr="00EF7F7A">
              <w:rPr>
                <w:b/>
                <w:sz w:val="20"/>
                <w:szCs w:val="20"/>
              </w:rPr>
              <w:t>Horizontal Fuel Arrangement</w:t>
            </w:r>
            <w:r w:rsidRPr="00EF7F7A">
              <w:rPr>
                <w:b/>
                <w:sz w:val="20"/>
                <w:szCs w:val="20"/>
              </w:rPr>
              <w:br/>
              <w:t>(% of area)</w:t>
            </w:r>
          </w:p>
        </w:tc>
        <w:tc>
          <w:tcPr>
            <w:tcW w:w="2012" w:type="dxa"/>
          </w:tcPr>
          <w:p w14:paraId="203931DD" w14:textId="77777777" w:rsidR="00C938EC" w:rsidRPr="00EF7F7A" w:rsidRDefault="00C938EC" w:rsidP="009D31FC">
            <w:pPr>
              <w:jc w:val="center"/>
              <w:rPr>
                <w:b/>
                <w:sz w:val="20"/>
                <w:szCs w:val="20"/>
              </w:rPr>
            </w:pPr>
            <w:r w:rsidRPr="00EF7F7A">
              <w:rPr>
                <w:b/>
                <w:sz w:val="20"/>
                <w:szCs w:val="20"/>
              </w:rPr>
              <w:t>Fuel coverage</w:t>
            </w:r>
            <w:r w:rsidRPr="00EF7F7A">
              <w:rPr>
                <w:b/>
                <w:sz w:val="20"/>
                <w:szCs w:val="20"/>
              </w:rPr>
              <w:br/>
              <w:t>&lt;20%</w:t>
            </w:r>
            <w:r w:rsidRPr="00EF7F7A">
              <w:rPr>
                <w:b/>
                <w:sz w:val="20"/>
                <w:szCs w:val="20"/>
              </w:rPr>
              <w:br/>
              <w:t>1</w:t>
            </w:r>
          </w:p>
        </w:tc>
        <w:tc>
          <w:tcPr>
            <w:tcW w:w="1915" w:type="dxa"/>
            <w:gridSpan w:val="3"/>
          </w:tcPr>
          <w:p w14:paraId="4D3AB577" w14:textId="77777777" w:rsidR="00C938EC" w:rsidRPr="00EF7F7A" w:rsidRDefault="00C938EC" w:rsidP="009D31FC">
            <w:pPr>
              <w:jc w:val="center"/>
              <w:rPr>
                <w:b/>
                <w:sz w:val="20"/>
                <w:szCs w:val="20"/>
              </w:rPr>
            </w:pPr>
            <w:r w:rsidRPr="00EF7F7A">
              <w:rPr>
                <w:b/>
                <w:sz w:val="20"/>
                <w:szCs w:val="20"/>
              </w:rPr>
              <w:t>Fuel coverage</w:t>
            </w:r>
            <w:r w:rsidRPr="00EF7F7A">
              <w:rPr>
                <w:b/>
                <w:sz w:val="20"/>
                <w:szCs w:val="20"/>
              </w:rPr>
              <w:br/>
              <w:t>20 to 50%</w:t>
            </w:r>
            <w:r w:rsidRPr="00EF7F7A">
              <w:rPr>
                <w:b/>
                <w:sz w:val="20"/>
                <w:szCs w:val="20"/>
              </w:rPr>
              <w:br/>
              <w:t>3</w:t>
            </w:r>
          </w:p>
        </w:tc>
        <w:tc>
          <w:tcPr>
            <w:tcW w:w="1915" w:type="dxa"/>
            <w:gridSpan w:val="2"/>
          </w:tcPr>
          <w:p w14:paraId="60506953" w14:textId="77777777" w:rsidR="00C938EC" w:rsidRPr="00EF7F7A" w:rsidRDefault="00C938EC" w:rsidP="009D31FC">
            <w:pPr>
              <w:jc w:val="center"/>
              <w:rPr>
                <w:b/>
                <w:sz w:val="20"/>
                <w:szCs w:val="20"/>
              </w:rPr>
            </w:pPr>
            <w:r w:rsidRPr="00EF7F7A">
              <w:rPr>
                <w:b/>
                <w:sz w:val="20"/>
                <w:szCs w:val="20"/>
              </w:rPr>
              <w:t>Fuel coverage</w:t>
            </w:r>
            <w:r w:rsidRPr="00EF7F7A">
              <w:rPr>
                <w:b/>
                <w:sz w:val="20"/>
                <w:szCs w:val="20"/>
              </w:rPr>
              <w:br/>
              <w:t>51 to 80%</w:t>
            </w:r>
            <w:r w:rsidRPr="00EF7F7A">
              <w:rPr>
                <w:b/>
                <w:sz w:val="20"/>
                <w:szCs w:val="20"/>
              </w:rPr>
              <w:br/>
              <w:t>5</w:t>
            </w:r>
          </w:p>
        </w:tc>
        <w:tc>
          <w:tcPr>
            <w:tcW w:w="2168" w:type="dxa"/>
            <w:gridSpan w:val="2"/>
          </w:tcPr>
          <w:p w14:paraId="07E57FDB" w14:textId="77777777" w:rsidR="00C938EC" w:rsidRPr="00EF7F7A" w:rsidRDefault="00C938EC" w:rsidP="009D31FC">
            <w:pPr>
              <w:jc w:val="center"/>
              <w:rPr>
                <w:b/>
                <w:sz w:val="20"/>
                <w:szCs w:val="20"/>
              </w:rPr>
            </w:pPr>
            <w:r w:rsidRPr="00EF7F7A">
              <w:rPr>
                <w:b/>
                <w:sz w:val="20"/>
                <w:szCs w:val="20"/>
              </w:rPr>
              <w:t>Fuel coverage</w:t>
            </w:r>
            <w:r w:rsidRPr="00EF7F7A">
              <w:rPr>
                <w:b/>
                <w:sz w:val="20"/>
                <w:szCs w:val="20"/>
              </w:rPr>
              <w:br/>
              <w:t>&gt;80%</w:t>
            </w:r>
            <w:r w:rsidRPr="00EF7F7A">
              <w:rPr>
                <w:b/>
                <w:sz w:val="20"/>
                <w:szCs w:val="20"/>
              </w:rPr>
              <w:br/>
              <w:t>7</w:t>
            </w:r>
          </w:p>
        </w:tc>
      </w:tr>
      <w:tr w:rsidR="00C938EC" w:rsidRPr="008C557C" w14:paraId="72C9A5F0" w14:textId="77777777" w:rsidTr="009D31FC">
        <w:tc>
          <w:tcPr>
            <w:tcW w:w="1710" w:type="dxa"/>
          </w:tcPr>
          <w:p w14:paraId="1D4F49B5" w14:textId="77777777" w:rsidR="00C938EC" w:rsidRPr="00EF7F7A" w:rsidRDefault="00C938EC" w:rsidP="009D31FC">
            <w:pPr>
              <w:rPr>
                <w:b/>
                <w:sz w:val="20"/>
                <w:szCs w:val="20"/>
              </w:rPr>
            </w:pPr>
            <w:r w:rsidRPr="00EF7F7A">
              <w:rPr>
                <w:b/>
                <w:sz w:val="20"/>
                <w:szCs w:val="20"/>
              </w:rPr>
              <w:t>Vertical Fuel Arrangement of</w:t>
            </w:r>
            <w:r w:rsidRPr="00EF7F7A">
              <w:rPr>
                <w:b/>
                <w:sz w:val="20"/>
                <w:szCs w:val="20"/>
              </w:rPr>
              <w:br/>
              <w:t>fine fuels &lt;7.1cm</w:t>
            </w:r>
          </w:p>
        </w:tc>
        <w:tc>
          <w:tcPr>
            <w:tcW w:w="2012" w:type="dxa"/>
          </w:tcPr>
          <w:p w14:paraId="05CB5430" w14:textId="77777777" w:rsidR="00C938EC" w:rsidRPr="00EF7F7A" w:rsidRDefault="00C938EC" w:rsidP="009D31FC">
            <w:pPr>
              <w:jc w:val="center"/>
              <w:rPr>
                <w:b/>
                <w:sz w:val="20"/>
                <w:szCs w:val="20"/>
              </w:rPr>
            </w:pPr>
            <w:r w:rsidRPr="00EF7F7A">
              <w:rPr>
                <w:b/>
                <w:sz w:val="20"/>
                <w:szCs w:val="20"/>
              </w:rPr>
              <w:t>Mixed with soil</w:t>
            </w:r>
            <w:r w:rsidRPr="00EF7F7A">
              <w:rPr>
                <w:b/>
                <w:sz w:val="20"/>
                <w:szCs w:val="20"/>
              </w:rPr>
              <w:br/>
            </w:r>
            <w:r w:rsidRPr="00EF7F7A">
              <w:rPr>
                <w:b/>
                <w:sz w:val="20"/>
                <w:szCs w:val="20"/>
              </w:rPr>
              <w:br/>
              <w:t>1</w:t>
            </w:r>
          </w:p>
        </w:tc>
        <w:tc>
          <w:tcPr>
            <w:tcW w:w="1915" w:type="dxa"/>
            <w:gridSpan w:val="3"/>
          </w:tcPr>
          <w:p w14:paraId="64696816" w14:textId="77777777" w:rsidR="00C938EC" w:rsidRPr="00EF7F7A" w:rsidRDefault="00C938EC" w:rsidP="009D31FC">
            <w:pPr>
              <w:jc w:val="center"/>
              <w:rPr>
                <w:b/>
                <w:sz w:val="20"/>
                <w:szCs w:val="20"/>
              </w:rPr>
            </w:pPr>
            <w:r w:rsidRPr="00EF7F7A">
              <w:rPr>
                <w:b/>
                <w:sz w:val="20"/>
                <w:szCs w:val="20"/>
              </w:rPr>
              <w:t>On the ground</w:t>
            </w:r>
            <w:r w:rsidRPr="00EF7F7A">
              <w:rPr>
                <w:b/>
                <w:sz w:val="20"/>
                <w:szCs w:val="20"/>
              </w:rPr>
              <w:br/>
            </w:r>
            <w:r w:rsidRPr="00EF7F7A">
              <w:rPr>
                <w:b/>
                <w:sz w:val="20"/>
                <w:szCs w:val="20"/>
              </w:rPr>
              <w:br/>
              <w:t>3</w:t>
            </w:r>
          </w:p>
        </w:tc>
        <w:tc>
          <w:tcPr>
            <w:tcW w:w="1915" w:type="dxa"/>
            <w:gridSpan w:val="2"/>
          </w:tcPr>
          <w:p w14:paraId="3ACB0C1A" w14:textId="77777777" w:rsidR="00C938EC" w:rsidRPr="00EF7F7A" w:rsidRDefault="00C938EC" w:rsidP="009D31FC">
            <w:pPr>
              <w:jc w:val="center"/>
              <w:rPr>
                <w:b/>
                <w:sz w:val="20"/>
                <w:szCs w:val="20"/>
              </w:rPr>
            </w:pPr>
            <w:r w:rsidRPr="00EF7F7A">
              <w:rPr>
                <w:b/>
                <w:sz w:val="20"/>
                <w:szCs w:val="20"/>
              </w:rPr>
              <w:t>Partially Elevated</w:t>
            </w:r>
            <w:r w:rsidRPr="00EF7F7A">
              <w:rPr>
                <w:b/>
                <w:sz w:val="20"/>
                <w:szCs w:val="20"/>
              </w:rPr>
              <w:br/>
            </w:r>
            <w:r w:rsidRPr="00EF7F7A">
              <w:rPr>
                <w:b/>
                <w:sz w:val="20"/>
                <w:szCs w:val="20"/>
              </w:rPr>
              <w:br/>
              <w:t>5</w:t>
            </w:r>
          </w:p>
        </w:tc>
        <w:tc>
          <w:tcPr>
            <w:tcW w:w="2168" w:type="dxa"/>
            <w:gridSpan w:val="2"/>
          </w:tcPr>
          <w:p w14:paraId="1A9C21CE" w14:textId="77777777" w:rsidR="00C938EC" w:rsidRPr="00EF7F7A" w:rsidRDefault="00C938EC" w:rsidP="009D31FC">
            <w:pPr>
              <w:jc w:val="center"/>
              <w:rPr>
                <w:b/>
                <w:sz w:val="20"/>
                <w:szCs w:val="20"/>
              </w:rPr>
            </w:pPr>
            <w:r w:rsidRPr="00EF7F7A">
              <w:rPr>
                <w:b/>
                <w:sz w:val="20"/>
                <w:szCs w:val="20"/>
              </w:rPr>
              <w:t>Mostly elevated</w:t>
            </w:r>
            <w:r w:rsidRPr="00EF7F7A">
              <w:rPr>
                <w:b/>
                <w:sz w:val="20"/>
                <w:szCs w:val="20"/>
              </w:rPr>
              <w:br/>
              <w:t>or ladder fuels</w:t>
            </w:r>
            <w:r w:rsidRPr="00EF7F7A">
              <w:rPr>
                <w:b/>
                <w:sz w:val="20"/>
                <w:szCs w:val="20"/>
              </w:rPr>
              <w:br/>
              <w:t>7</w:t>
            </w:r>
          </w:p>
        </w:tc>
      </w:tr>
      <w:tr w:rsidR="00C938EC" w:rsidRPr="008C557C" w14:paraId="7C309DBE" w14:textId="77777777" w:rsidTr="009D31FC">
        <w:tc>
          <w:tcPr>
            <w:tcW w:w="1710" w:type="dxa"/>
          </w:tcPr>
          <w:p w14:paraId="3CEFDAAE" w14:textId="77777777" w:rsidR="00C938EC" w:rsidRPr="00EF7F7A" w:rsidRDefault="00C938EC" w:rsidP="009D31FC">
            <w:pPr>
              <w:rPr>
                <w:b/>
                <w:sz w:val="20"/>
                <w:szCs w:val="20"/>
              </w:rPr>
            </w:pPr>
            <w:r w:rsidRPr="00EF7F7A">
              <w:rPr>
                <w:b/>
                <w:sz w:val="20"/>
                <w:szCs w:val="20"/>
              </w:rPr>
              <w:t>Vegetation that</w:t>
            </w:r>
            <w:r w:rsidRPr="00EF7F7A">
              <w:rPr>
                <w:b/>
                <w:sz w:val="20"/>
                <w:szCs w:val="20"/>
              </w:rPr>
              <w:br/>
              <w:t>contributes to Fuel Load</w:t>
            </w:r>
          </w:p>
        </w:tc>
        <w:tc>
          <w:tcPr>
            <w:tcW w:w="2012" w:type="dxa"/>
          </w:tcPr>
          <w:p w14:paraId="58A50DAA" w14:textId="77777777" w:rsidR="00C938EC" w:rsidRPr="00EF7F7A" w:rsidRDefault="00C938EC" w:rsidP="009D31FC">
            <w:pPr>
              <w:jc w:val="center"/>
              <w:rPr>
                <w:b/>
                <w:sz w:val="20"/>
                <w:szCs w:val="20"/>
              </w:rPr>
            </w:pPr>
            <w:r w:rsidRPr="00EF7F7A">
              <w:rPr>
                <w:b/>
                <w:sz w:val="20"/>
                <w:szCs w:val="20"/>
              </w:rPr>
              <w:t>None</w:t>
            </w:r>
          </w:p>
          <w:p w14:paraId="4F0A2566" w14:textId="77777777" w:rsidR="00C938EC" w:rsidRPr="00EF7F7A" w:rsidRDefault="00C938EC" w:rsidP="009D31FC">
            <w:pPr>
              <w:jc w:val="center"/>
              <w:rPr>
                <w:b/>
                <w:sz w:val="20"/>
                <w:szCs w:val="20"/>
              </w:rPr>
            </w:pPr>
            <w:r w:rsidRPr="00EF7F7A">
              <w:rPr>
                <w:b/>
                <w:sz w:val="20"/>
                <w:szCs w:val="20"/>
              </w:rPr>
              <w:br/>
              <w:t>0</w:t>
            </w:r>
          </w:p>
        </w:tc>
        <w:tc>
          <w:tcPr>
            <w:tcW w:w="1915" w:type="dxa"/>
            <w:gridSpan w:val="3"/>
          </w:tcPr>
          <w:p w14:paraId="53499072" w14:textId="77777777" w:rsidR="00C938EC" w:rsidRPr="00EF7F7A" w:rsidRDefault="00C938EC" w:rsidP="009D31FC">
            <w:pPr>
              <w:jc w:val="center"/>
              <w:rPr>
                <w:b/>
                <w:sz w:val="20"/>
                <w:szCs w:val="20"/>
              </w:rPr>
            </w:pPr>
            <w:r w:rsidRPr="00EF7F7A">
              <w:rPr>
                <w:b/>
                <w:sz w:val="20"/>
                <w:szCs w:val="20"/>
              </w:rPr>
              <w:t>Low</w:t>
            </w:r>
            <w:r w:rsidRPr="00EF7F7A">
              <w:rPr>
                <w:b/>
                <w:sz w:val="20"/>
                <w:szCs w:val="20"/>
              </w:rPr>
              <w:br/>
            </w:r>
            <w:r w:rsidRPr="00EF7F7A">
              <w:rPr>
                <w:b/>
                <w:sz w:val="20"/>
                <w:szCs w:val="20"/>
              </w:rPr>
              <w:br/>
              <w:t>1</w:t>
            </w:r>
          </w:p>
        </w:tc>
        <w:tc>
          <w:tcPr>
            <w:tcW w:w="1915" w:type="dxa"/>
            <w:gridSpan w:val="2"/>
          </w:tcPr>
          <w:p w14:paraId="48374FD0" w14:textId="77777777" w:rsidR="00C938EC" w:rsidRPr="00EF7F7A" w:rsidRDefault="00C938EC" w:rsidP="009D31FC">
            <w:pPr>
              <w:jc w:val="center"/>
              <w:rPr>
                <w:b/>
                <w:sz w:val="20"/>
                <w:szCs w:val="20"/>
              </w:rPr>
            </w:pPr>
            <w:r w:rsidRPr="00EF7F7A">
              <w:rPr>
                <w:b/>
                <w:sz w:val="20"/>
                <w:szCs w:val="20"/>
              </w:rPr>
              <w:t>Moderate</w:t>
            </w:r>
            <w:r w:rsidRPr="00EF7F7A">
              <w:rPr>
                <w:b/>
                <w:sz w:val="20"/>
                <w:szCs w:val="20"/>
              </w:rPr>
              <w:br/>
            </w:r>
            <w:r w:rsidRPr="00EF7F7A">
              <w:rPr>
                <w:b/>
                <w:sz w:val="20"/>
                <w:szCs w:val="20"/>
              </w:rPr>
              <w:br/>
              <w:t>3</w:t>
            </w:r>
          </w:p>
        </w:tc>
        <w:tc>
          <w:tcPr>
            <w:tcW w:w="2168" w:type="dxa"/>
            <w:gridSpan w:val="2"/>
          </w:tcPr>
          <w:p w14:paraId="0CFDB5B5" w14:textId="77777777" w:rsidR="00C938EC" w:rsidRPr="00EF7F7A" w:rsidRDefault="00C938EC" w:rsidP="009D31FC">
            <w:pPr>
              <w:jc w:val="center"/>
              <w:rPr>
                <w:b/>
                <w:sz w:val="20"/>
                <w:szCs w:val="20"/>
              </w:rPr>
            </w:pPr>
            <w:r w:rsidRPr="00EF7F7A">
              <w:rPr>
                <w:b/>
                <w:sz w:val="20"/>
                <w:szCs w:val="20"/>
              </w:rPr>
              <w:t>High</w:t>
            </w:r>
            <w:r w:rsidRPr="00EF7F7A">
              <w:rPr>
                <w:b/>
                <w:sz w:val="20"/>
                <w:szCs w:val="20"/>
              </w:rPr>
              <w:br/>
            </w:r>
            <w:r w:rsidRPr="00EF7F7A">
              <w:rPr>
                <w:b/>
                <w:sz w:val="20"/>
                <w:szCs w:val="20"/>
              </w:rPr>
              <w:br/>
              <w:t>5</w:t>
            </w:r>
          </w:p>
        </w:tc>
      </w:tr>
      <w:tr w:rsidR="00C938EC" w:rsidRPr="008C557C" w14:paraId="64E0ED45" w14:textId="77777777" w:rsidTr="009D31FC">
        <w:tc>
          <w:tcPr>
            <w:tcW w:w="1710" w:type="dxa"/>
            <w:tcBorders>
              <w:bottom w:val="single" w:sz="12" w:space="0" w:color="auto"/>
            </w:tcBorders>
          </w:tcPr>
          <w:p w14:paraId="70207CAE" w14:textId="77777777" w:rsidR="00C938EC" w:rsidRPr="00EF7F7A" w:rsidRDefault="00C938EC" w:rsidP="009D31FC">
            <w:pPr>
              <w:rPr>
                <w:b/>
                <w:sz w:val="20"/>
                <w:szCs w:val="20"/>
              </w:rPr>
            </w:pPr>
            <w:r w:rsidRPr="00835C0A">
              <w:rPr>
                <w:b/>
                <w:sz w:val="20"/>
                <w:szCs w:val="20"/>
              </w:rPr>
              <w:t>Cedar Slash Component</w:t>
            </w:r>
          </w:p>
        </w:tc>
        <w:tc>
          <w:tcPr>
            <w:tcW w:w="2012" w:type="dxa"/>
            <w:tcBorders>
              <w:bottom w:val="single" w:sz="12" w:space="0" w:color="auto"/>
            </w:tcBorders>
          </w:tcPr>
          <w:p w14:paraId="295C0664" w14:textId="77777777" w:rsidR="00C938EC" w:rsidRPr="00EF7F7A" w:rsidRDefault="00C938EC" w:rsidP="009D31FC">
            <w:pPr>
              <w:jc w:val="center"/>
              <w:rPr>
                <w:b/>
                <w:sz w:val="20"/>
                <w:szCs w:val="20"/>
              </w:rPr>
            </w:pPr>
            <w:r w:rsidRPr="00EF7F7A">
              <w:rPr>
                <w:b/>
                <w:sz w:val="20"/>
                <w:szCs w:val="20"/>
              </w:rPr>
              <w:t>&lt;20%</w:t>
            </w:r>
            <w:r w:rsidRPr="00EF7F7A">
              <w:rPr>
                <w:b/>
                <w:sz w:val="20"/>
                <w:szCs w:val="20"/>
              </w:rPr>
              <w:br/>
            </w:r>
            <w:r w:rsidRPr="00EF7F7A">
              <w:rPr>
                <w:b/>
                <w:sz w:val="20"/>
                <w:szCs w:val="20"/>
              </w:rPr>
              <w:br/>
              <w:t>1</w:t>
            </w:r>
          </w:p>
        </w:tc>
        <w:tc>
          <w:tcPr>
            <w:tcW w:w="1915" w:type="dxa"/>
            <w:gridSpan w:val="3"/>
            <w:tcBorders>
              <w:bottom w:val="single" w:sz="12" w:space="0" w:color="auto"/>
            </w:tcBorders>
          </w:tcPr>
          <w:p w14:paraId="4A6DE273" w14:textId="77777777" w:rsidR="00C938EC" w:rsidRPr="00EF7F7A" w:rsidRDefault="00C938EC" w:rsidP="009D31FC">
            <w:pPr>
              <w:jc w:val="center"/>
              <w:rPr>
                <w:b/>
                <w:sz w:val="20"/>
                <w:szCs w:val="20"/>
              </w:rPr>
            </w:pPr>
            <w:r w:rsidRPr="00EF7F7A">
              <w:rPr>
                <w:b/>
                <w:sz w:val="20"/>
                <w:szCs w:val="20"/>
              </w:rPr>
              <w:t>20 to 40%</w:t>
            </w:r>
            <w:r w:rsidRPr="00EF7F7A">
              <w:rPr>
                <w:b/>
                <w:sz w:val="20"/>
                <w:szCs w:val="20"/>
              </w:rPr>
              <w:br/>
            </w:r>
            <w:r w:rsidRPr="00EF7F7A">
              <w:rPr>
                <w:b/>
                <w:sz w:val="20"/>
                <w:szCs w:val="20"/>
              </w:rPr>
              <w:br/>
              <w:t>2</w:t>
            </w:r>
          </w:p>
        </w:tc>
        <w:tc>
          <w:tcPr>
            <w:tcW w:w="1915" w:type="dxa"/>
            <w:gridSpan w:val="2"/>
            <w:tcBorders>
              <w:bottom w:val="single" w:sz="12" w:space="0" w:color="auto"/>
            </w:tcBorders>
          </w:tcPr>
          <w:p w14:paraId="7495317D" w14:textId="77777777" w:rsidR="00C938EC" w:rsidRPr="00EF7F7A" w:rsidRDefault="00C938EC" w:rsidP="009D31FC">
            <w:pPr>
              <w:jc w:val="center"/>
              <w:rPr>
                <w:b/>
                <w:sz w:val="20"/>
                <w:szCs w:val="20"/>
              </w:rPr>
            </w:pPr>
            <w:r w:rsidRPr="00EF7F7A">
              <w:rPr>
                <w:b/>
                <w:sz w:val="20"/>
                <w:szCs w:val="20"/>
              </w:rPr>
              <w:t>41 to 60%</w:t>
            </w:r>
            <w:r w:rsidRPr="00EF7F7A">
              <w:rPr>
                <w:b/>
                <w:sz w:val="20"/>
                <w:szCs w:val="20"/>
              </w:rPr>
              <w:br/>
            </w:r>
            <w:r w:rsidRPr="00EF7F7A">
              <w:rPr>
                <w:b/>
                <w:sz w:val="20"/>
                <w:szCs w:val="20"/>
              </w:rPr>
              <w:br/>
              <w:t>3</w:t>
            </w:r>
          </w:p>
        </w:tc>
        <w:tc>
          <w:tcPr>
            <w:tcW w:w="2168" w:type="dxa"/>
            <w:gridSpan w:val="2"/>
            <w:tcBorders>
              <w:bottom w:val="single" w:sz="12" w:space="0" w:color="auto"/>
            </w:tcBorders>
          </w:tcPr>
          <w:p w14:paraId="1A986ED7" w14:textId="77777777" w:rsidR="00C938EC" w:rsidRPr="00EF7F7A" w:rsidRDefault="00C938EC" w:rsidP="009D31FC">
            <w:pPr>
              <w:jc w:val="center"/>
              <w:rPr>
                <w:b/>
                <w:sz w:val="20"/>
                <w:szCs w:val="20"/>
              </w:rPr>
            </w:pPr>
            <w:r w:rsidRPr="00EF7F7A">
              <w:rPr>
                <w:b/>
                <w:sz w:val="20"/>
                <w:szCs w:val="20"/>
              </w:rPr>
              <w:t>&gt;60%</w:t>
            </w:r>
            <w:r w:rsidRPr="00EF7F7A">
              <w:rPr>
                <w:b/>
                <w:sz w:val="20"/>
                <w:szCs w:val="20"/>
              </w:rPr>
              <w:br/>
            </w:r>
            <w:r w:rsidRPr="00EF7F7A">
              <w:rPr>
                <w:b/>
                <w:sz w:val="20"/>
                <w:szCs w:val="20"/>
              </w:rPr>
              <w:br/>
              <w:t>4</w:t>
            </w:r>
          </w:p>
        </w:tc>
      </w:tr>
      <w:tr w:rsidR="00C938EC" w:rsidRPr="008C557C" w14:paraId="2DCCFD6D" w14:textId="77777777" w:rsidTr="00EF7F7A">
        <w:trPr>
          <w:trHeight w:val="348"/>
        </w:trPr>
        <w:tc>
          <w:tcPr>
            <w:tcW w:w="5637" w:type="dxa"/>
            <w:gridSpan w:val="5"/>
            <w:tcBorders>
              <w:bottom w:val="single" w:sz="12" w:space="0" w:color="auto"/>
            </w:tcBorders>
            <w:vAlign w:val="center"/>
          </w:tcPr>
          <w:p w14:paraId="23FB4EA1" w14:textId="77777777" w:rsidR="00EF7F7A" w:rsidRDefault="00C938EC" w:rsidP="009D31FC">
            <w:pPr>
              <w:jc w:val="center"/>
              <w:rPr>
                <w:b/>
                <w:sz w:val="20"/>
                <w:szCs w:val="20"/>
              </w:rPr>
            </w:pPr>
            <w:r w:rsidRPr="00F13099">
              <w:rPr>
                <w:b/>
                <w:sz w:val="20"/>
                <w:szCs w:val="20"/>
              </w:rPr>
              <w:t xml:space="preserve">Fuel Hazard </w:t>
            </w:r>
            <w:r>
              <w:rPr>
                <w:b/>
                <w:sz w:val="20"/>
                <w:szCs w:val="20"/>
              </w:rPr>
              <w:t xml:space="preserve">Rating </w:t>
            </w:r>
            <w:r w:rsidRPr="00F13099">
              <w:rPr>
                <w:b/>
                <w:sz w:val="20"/>
                <w:szCs w:val="20"/>
              </w:rPr>
              <w:t>for Dispersed Slash</w:t>
            </w:r>
            <w:r>
              <w:rPr>
                <w:b/>
                <w:sz w:val="20"/>
                <w:szCs w:val="20"/>
              </w:rPr>
              <w:t xml:space="preserve"> </w:t>
            </w:r>
            <w:r w:rsidR="00EF7F7A">
              <w:rPr>
                <w:b/>
                <w:sz w:val="20"/>
                <w:szCs w:val="20"/>
              </w:rPr>
              <w:t>or ___________________</w:t>
            </w:r>
          </w:p>
          <w:p w14:paraId="7B0432CD" w14:textId="77777777" w:rsidR="00C938EC" w:rsidRPr="00F13099" w:rsidRDefault="00C938EC" w:rsidP="009D31FC">
            <w:pPr>
              <w:jc w:val="center"/>
              <w:rPr>
                <w:b/>
                <w:sz w:val="20"/>
                <w:szCs w:val="20"/>
              </w:rPr>
            </w:pPr>
            <w:r>
              <w:rPr>
                <w:b/>
                <w:sz w:val="20"/>
                <w:szCs w:val="20"/>
              </w:rPr>
              <w:t>(</w:t>
            </w:r>
            <w:r w:rsidRPr="00EF7F7A">
              <w:rPr>
                <w:b/>
                <w:i/>
                <w:sz w:val="19"/>
                <w:szCs w:val="19"/>
              </w:rPr>
              <w:t>abatement is most likely warranted if the point value exceeds 14</w:t>
            </w:r>
            <w:r w:rsidRPr="00EF7F7A">
              <w:rPr>
                <w:b/>
                <w:sz w:val="19"/>
                <w:szCs w:val="19"/>
              </w:rPr>
              <w:t>)</w:t>
            </w:r>
          </w:p>
        </w:tc>
        <w:tc>
          <w:tcPr>
            <w:tcW w:w="1915" w:type="dxa"/>
            <w:gridSpan w:val="2"/>
            <w:tcBorders>
              <w:bottom w:val="single" w:sz="12" w:space="0" w:color="auto"/>
            </w:tcBorders>
          </w:tcPr>
          <w:p w14:paraId="6B1DEB24" w14:textId="77777777" w:rsidR="00C938EC" w:rsidRPr="00F13099" w:rsidRDefault="00C938EC" w:rsidP="009D31FC">
            <w:pPr>
              <w:jc w:val="center"/>
              <w:rPr>
                <w:b/>
                <w:sz w:val="20"/>
                <w:szCs w:val="20"/>
              </w:rPr>
            </w:pPr>
            <w:r w:rsidRPr="00F13099">
              <w:rPr>
                <w:b/>
                <w:sz w:val="20"/>
                <w:szCs w:val="20"/>
              </w:rPr>
              <w:t>Points</w:t>
            </w:r>
          </w:p>
        </w:tc>
        <w:tc>
          <w:tcPr>
            <w:tcW w:w="2168" w:type="dxa"/>
            <w:gridSpan w:val="2"/>
            <w:tcBorders>
              <w:bottom w:val="single" w:sz="12" w:space="0" w:color="auto"/>
            </w:tcBorders>
          </w:tcPr>
          <w:p w14:paraId="75D2A9E7" w14:textId="77777777" w:rsidR="00C938EC" w:rsidRPr="008C557C" w:rsidRDefault="00C938EC" w:rsidP="009D31FC">
            <w:pPr>
              <w:jc w:val="center"/>
              <w:rPr>
                <w:sz w:val="20"/>
                <w:szCs w:val="20"/>
              </w:rPr>
            </w:pPr>
          </w:p>
        </w:tc>
      </w:tr>
      <w:tr w:rsidR="00C938EC" w:rsidRPr="008C557C" w14:paraId="4BCCDBF9" w14:textId="77777777" w:rsidTr="00EC2A8F">
        <w:trPr>
          <w:trHeight w:val="2067"/>
        </w:trPr>
        <w:tc>
          <w:tcPr>
            <w:tcW w:w="1710" w:type="dxa"/>
            <w:tcBorders>
              <w:bottom w:val="thinThickLargeGap" w:sz="24" w:space="0" w:color="auto"/>
            </w:tcBorders>
          </w:tcPr>
          <w:p w14:paraId="2C2317D7" w14:textId="77777777" w:rsidR="00C938EC" w:rsidRPr="00EF7F7A" w:rsidRDefault="00C938EC" w:rsidP="009D31FC">
            <w:pPr>
              <w:rPr>
                <w:b/>
                <w:sz w:val="20"/>
                <w:szCs w:val="20"/>
              </w:rPr>
            </w:pPr>
            <w:r w:rsidRPr="00EF7F7A">
              <w:rPr>
                <w:b/>
                <w:sz w:val="20"/>
                <w:szCs w:val="20"/>
              </w:rPr>
              <w:t xml:space="preserve">Risk of Human Ignition </w:t>
            </w:r>
          </w:p>
          <w:p w14:paraId="59565365" w14:textId="77777777" w:rsidR="00C938EC" w:rsidRPr="00EF7F7A" w:rsidRDefault="00C938EC" w:rsidP="009D31FC">
            <w:pPr>
              <w:rPr>
                <w:b/>
                <w:sz w:val="20"/>
                <w:szCs w:val="20"/>
              </w:rPr>
            </w:pPr>
          </w:p>
        </w:tc>
        <w:tc>
          <w:tcPr>
            <w:tcW w:w="2012" w:type="dxa"/>
            <w:tcBorders>
              <w:bottom w:val="thinThickLargeGap" w:sz="24" w:space="0" w:color="auto"/>
            </w:tcBorders>
          </w:tcPr>
          <w:p w14:paraId="5FCA1DAF" w14:textId="77777777" w:rsidR="00C46D82" w:rsidRPr="00EF7F7A" w:rsidRDefault="00C938EC" w:rsidP="00C46D82">
            <w:pPr>
              <w:jc w:val="center"/>
              <w:rPr>
                <w:b/>
                <w:sz w:val="20"/>
                <w:szCs w:val="20"/>
              </w:rPr>
            </w:pPr>
            <w:r w:rsidRPr="00EF7F7A">
              <w:rPr>
                <w:b/>
                <w:sz w:val="20"/>
                <w:szCs w:val="20"/>
              </w:rPr>
              <w:t>No access</w:t>
            </w:r>
          </w:p>
          <w:p w14:paraId="67E1B42A" w14:textId="77777777" w:rsidR="00C938EC" w:rsidRPr="008C557C" w:rsidRDefault="00C46D82" w:rsidP="009D31FC">
            <w:pPr>
              <w:jc w:val="center"/>
              <w:rPr>
                <w:sz w:val="20"/>
                <w:szCs w:val="20"/>
              </w:rPr>
            </w:pPr>
            <w:r>
              <w:rPr>
                <w:sz w:val="20"/>
                <w:szCs w:val="20"/>
              </w:rPr>
              <w:t>(a gate prevents vehicle access or the</w:t>
            </w:r>
            <w:r w:rsidR="006466E8">
              <w:rPr>
                <w:sz w:val="20"/>
                <w:szCs w:val="20"/>
              </w:rPr>
              <w:t xml:space="preserve"> cutblock was helicopter logged with</w:t>
            </w:r>
            <w:r>
              <w:rPr>
                <w:sz w:val="20"/>
                <w:szCs w:val="20"/>
              </w:rPr>
              <w:t>o</w:t>
            </w:r>
            <w:r w:rsidR="006466E8">
              <w:rPr>
                <w:sz w:val="20"/>
                <w:szCs w:val="20"/>
              </w:rPr>
              <w:t>ut</w:t>
            </w:r>
            <w:r>
              <w:rPr>
                <w:sz w:val="20"/>
                <w:szCs w:val="20"/>
              </w:rPr>
              <w:t xml:space="preserve"> road a</w:t>
            </w:r>
            <w:r w:rsidR="006466E8">
              <w:rPr>
                <w:sz w:val="20"/>
                <w:szCs w:val="20"/>
              </w:rPr>
              <w:t>ccess</w:t>
            </w:r>
            <w:r>
              <w:rPr>
                <w:sz w:val="20"/>
                <w:szCs w:val="20"/>
              </w:rPr>
              <w:t>)</w:t>
            </w:r>
          </w:p>
          <w:p w14:paraId="58C9972F" w14:textId="77777777" w:rsidR="00C938EC" w:rsidRPr="008C557C" w:rsidRDefault="00C938EC" w:rsidP="009D31FC">
            <w:pPr>
              <w:jc w:val="center"/>
              <w:rPr>
                <w:sz w:val="20"/>
                <w:szCs w:val="20"/>
              </w:rPr>
            </w:pPr>
            <w:r w:rsidRPr="008C557C">
              <w:rPr>
                <w:sz w:val="20"/>
                <w:szCs w:val="20"/>
              </w:rPr>
              <w:t>1</w:t>
            </w:r>
          </w:p>
        </w:tc>
        <w:tc>
          <w:tcPr>
            <w:tcW w:w="1915" w:type="dxa"/>
            <w:gridSpan w:val="3"/>
            <w:tcBorders>
              <w:bottom w:val="thinThickLargeGap" w:sz="24" w:space="0" w:color="auto"/>
            </w:tcBorders>
          </w:tcPr>
          <w:p w14:paraId="48B9BD71" w14:textId="77777777" w:rsidR="00C938EC" w:rsidRPr="00EF7F7A" w:rsidRDefault="00C938EC" w:rsidP="00E2332B">
            <w:pPr>
              <w:jc w:val="center"/>
              <w:rPr>
                <w:b/>
                <w:sz w:val="20"/>
                <w:szCs w:val="20"/>
              </w:rPr>
            </w:pPr>
            <w:r w:rsidRPr="00EF7F7A">
              <w:rPr>
                <w:b/>
                <w:sz w:val="20"/>
                <w:szCs w:val="20"/>
              </w:rPr>
              <w:t>Poor access</w:t>
            </w:r>
          </w:p>
          <w:p w14:paraId="18A569F3" w14:textId="77777777" w:rsidR="00C938EC" w:rsidRPr="008C557C" w:rsidRDefault="00C46D82" w:rsidP="00E2332B">
            <w:pPr>
              <w:jc w:val="center"/>
              <w:rPr>
                <w:sz w:val="20"/>
                <w:szCs w:val="20"/>
              </w:rPr>
            </w:pPr>
            <w:r>
              <w:rPr>
                <w:sz w:val="20"/>
                <w:szCs w:val="20"/>
              </w:rPr>
              <w:t xml:space="preserve">(ATV or difficult 4x4 truck access </w:t>
            </w:r>
            <w:r w:rsidR="00E2332B">
              <w:rPr>
                <w:sz w:val="20"/>
                <w:szCs w:val="20"/>
              </w:rPr>
              <w:t>to the harvest area</w:t>
            </w:r>
            <w:r>
              <w:rPr>
                <w:sz w:val="20"/>
                <w:szCs w:val="20"/>
              </w:rPr>
              <w:t>)</w:t>
            </w:r>
          </w:p>
          <w:p w14:paraId="1CDE5736" w14:textId="77777777" w:rsidR="00C938EC" w:rsidRDefault="00C938EC" w:rsidP="00E2332B">
            <w:pPr>
              <w:jc w:val="center"/>
              <w:rPr>
                <w:sz w:val="20"/>
                <w:szCs w:val="20"/>
              </w:rPr>
            </w:pPr>
          </w:p>
          <w:p w14:paraId="18C4747B" w14:textId="77777777" w:rsidR="00E2332B" w:rsidRPr="008C557C" w:rsidRDefault="00E2332B" w:rsidP="00E2332B">
            <w:pPr>
              <w:jc w:val="center"/>
              <w:rPr>
                <w:sz w:val="20"/>
                <w:szCs w:val="20"/>
              </w:rPr>
            </w:pPr>
            <w:r>
              <w:rPr>
                <w:sz w:val="20"/>
                <w:szCs w:val="20"/>
              </w:rPr>
              <w:t>2</w:t>
            </w:r>
          </w:p>
        </w:tc>
        <w:tc>
          <w:tcPr>
            <w:tcW w:w="1915" w:type="dxa"/>
            <w:gridSpan w:val="2"/>
            <w:tcBorders>
              <w:bottom w:val="thinThickLargeGap" w:sz="24" w:space="0" w:color="auto"/>
            </w:tcBorders>
          </w:tcPr>
          <w:p w14:paraId="43B55F8F" w14:textId="77777777" w:rsidR="00C938EC" w:rsidRPr="00EF7F7A" w:rsidRDefault="00C938EC" w:rsidP="009D31FC">
            <w:pPr>
              <w:jc w:val="center"/>
              <w:rPr>
                <w:b/>
                <w:sz w:val="20"/>
                <w:szCs w:val="20"/>
              </w:rPr>
            </w:pPr>
            <w:r w:rsidRPr="00EF7F7A">
              <w:rPr>
                <w:b/>
                <w:sz w:val="20"/>
                <w:szCs w:val="20"/>
              </w:rPr>
              <w:t>Good access</w:t>
            </w:r>
          </w:p>
          <w:p w14:paraId="201FD8BA" w14:textId="3F3ADE53" w:rsidR="00C938EC" w:rsidRPr="008C557C" w:rsidRDefault="00C938EC" w:rsidP="009D31FC">
            <w:pPr>
              <w:jc w:val="center"/>
              <w:rPr>
                <w:sz w:val="20"/>
                <w:szCs w:val="20"/>
              </w:rPr>
            </w:pPr>
            <w:r w:rsidRPr="008C557C">
              <w:rPr>
                <w:sz w:val="20"/>
                <w:szCs w:val="20"/>
              </w:rPr>
              <w:t>(</w:t>
            </w:r>
            <w:r w:rsidR="00E2332B">
              <w:rPr>
                <w:sz w:val="20"/>
                <w:szCs w:val="20"/>
              </w:rPr>
              <w:t>2 wheel drive or easy 4x4 truck access to the harvest area</w:t>
            </w:r>
            <w:r w:rsidRPr="008C557C">
              <w:rPr>
                <w:sz w:val="20"/>
                <w:szCs w:val="20"/>
              </w:rPr>
              <w:t>)</w:t>
            </w:r>
          </w:p>
          <w:p w14:paraId="00CA2101" w14:textId="77777777" w:rsidR="00C938EC" w:rsidRPr="008C557C" w:rsidRDefault="00C938EC" w:rsidP="009D31FC">
            <w:pPr>
              <w:jc w:val="center"/>
              <w:rPr>
                <w:sz w:val="20"/>
                <w:szCs w:val="20"/>
              </w:rPr>
            </w:pPr>
            <w:r w:rsidRPr="008C557C">
              <w:rPr>
                <w:sz w:val="20"/>
                <w:szCs w:val="20"/>
              </w:rPr>
              <w:t>3</w:t>
            </w:r>
          </w:p>
        </w:tc>
        <w:tc>
          <w:tcPr>
            <w:tcW w:w="2168" w:type="dxa"/>
            <w:gridSpan w:val="2"/>
            <w:tcBorders>
              <w:bottom w:val="thinThickLargeGap" w:sz="24" w:space="0" w:color="auto"/>
            </w:tcBorders>
          </w:tcPr>
          <w:p w14:paraId="6560D723" w14:textId="77777777" w:rsidR="00C938EC" w:rsidRPr="00EF7F7A" w:rsidRDefault="00C938EC" w:rsidP="009D31FC">
            <w:pPr>
              <w:jc w:val="center"/>
              <w:rPr>
                <w:b/>
                <w:sz w:val="20"/>
                <w:szCs w:val="20"/>
              </w:rPr>
            </w:pPr>
            <w:r w:rsidRPr="00EF7F7A">
              <w:rPr>
                <w:b/>
                <w:sz w:val="20"/>
                <w:szCs w:val="20"/>
              </w:rPr>
              <w:t>Readily accessible</w:t>
            </w:r>
          </w:p>
          <w:p w14:paraId="4F2A4743" w14:textId="77777777" w:rsidR="00C938EC" w:rsidRDefault="00C938EC" w:rsidP="009D31FC">
            <w:pPr>
              <w:jc w:val="center"/>
              <w:rPr>
                <w:sz w:val="20"/>
                <w:szCs w:val="20"/>
              </w:rPr>
            </w:pPr>
            <w:r w:rsidRPr="008C557C">
              <w:rPr>
                <w:sz w:val="20"/>
                <w:szCs w:val="20"/>
              </w:rPr>
              <w:t xml:space="preserve">(main </w:t>
            </w:r>
            <w:r>
              <w:rPr>
                <w:sz w:val="20"/>
                <w:szCs w:val="20"/>
              </w:rPr>
              <w:t>public road</w:t>
            </w:r>
            <w:r w:rsidR="00C46D82">
              <w:rPr>
                <w:sz w:val="20"/>
                <w:szCs w:val="20"/>
              </w:rPr>
              <w:t>, close to town, frequently travelled</w:t>
            </w:r>
            <w:r w:rsidRPr="008C557C">
              <w:rPr>
                <w:sz w:val="20"/>
                <w:szCs w:val="20"/>
              </w:rPr>
              <w:t>)</w:t>
            </w:r>
          </w:p>
          <w:p w14:paraId="23FCA9B6" w14:textId="77777777" w:rsidR="00732AF9" w:rsidRPr="008C557C" w:rsidRDefault="00732AF9" w:rsidP="009D31FC">
            <w:pPr>
              <w:jc w:val="center"/>
              <w:rPr>
                <w:sz w:val="20"/>
                <w:szCs w:val="20"/>
              </w:rPr>
            </w:pPr>
          </w:p>
          <w:p w14:paraId="2F0772D3" w14:textId="77777777" w:rsidR="00C938EC" w:rsidRPr="008C557C" w:rsidRDefault="00C938EC" w:rsidP="009D31FC">
            <w:pPr>
              <w:jc w:val="center"/>
              <w:rPr>
                <w:sz w:val="20"/>
                <w:szCs w:val="20"/>
              </w:rPr>
            </w:pPr>
            <w:r w:rsidRPr="008C557C">
              <w:rPr>
                <w:sz w:val="20"/>
                <w:szCs w:val="20"/>
              </w:rPr>
              <w:t>4</w:t>
            </w:r>
          </w:p>
        </w:tc>
      </w:tr>
      <w:tr w:rsidR="00C938EC" w:rsidRPr="00AD4194" w14:paraId="4A44391D" w14:textId="77777777" w:rsidTr="00EF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3837" w:type="dxa"/>
            <w:gridSpan w:val="3"/>
            <w:tcBorders>
              <w:top w:val="nil"/>
              <w:left w:val="single" w:sz="8" w:space="0" w:color="auto"/>
              <w:bottom w:val="single" w:sz="4" w:space="0" w:color="auto"/>
              <w:right w:val="single" w:sz="4" w:space="0" w:color="auto"/>
            </w:tcBorders>
            <w:vAlign w:val="center"/>
          </w:tcPr>
          <w:p w14:paraId="0D1FB8B3" w14:textId="77777777" w:rsidR="00C938EC" w:rsidRPr="00EF7F7A" w:rsidRDefault="00C938EC" w:rsidP="009D31FC">
            <w:pPr>
              <w:rPr>
                <w:rFonts w:ascii="Arial" w:hAnsi="Arial" w:cs="Arial"/>
                <w:b/>
                <w:sz w:val="18"/>
                <w:szCs w:val="18"/>
              </w:rPr>
            </w:pPr>
            <w:r w:rsidRPr="00EF7F7A">
              <w:rPr>
                <w:rFonts w:ascii="Arial" w:hAnsi="Arial" w:cs="Arial"/>
                <w:b/>
                <w:sz w:val="18"/>
                <w:szCs w:val="18"/>
              </w:rPr>
              <w:t>Average Slope</w:t>
            </w:r>
            <w:r w:rsidR="00C46D82" w:rsidRPr="00EF7F7A">
              <w:rPr>
                <w:rFonts w:ascii="Arial" w:hAnsi="Arial" w:cs="Arial"/>
                <w:b/>
                <w:sz w:val="18"/>
                <w:szCs w:val="18"/>
              </w:rPr>
              <w:t xml:space="preserve"> of the Harvest Area</w:t>
            </w:r>
          </w:p>
        </w:tc>
        <w:tc>
          <w:tcPr>
            <w:tcW w:w="1333" w:type="dxa"/>
            <w:tcBorders>
              <w:top w:val="nil"/>
              <w:left w:val="nil"/>
              <w:bottom w:val="single" w:sz="4" w:space="0" w:color="auto"/>
              <w:right w:val="single" w:sz="4" w:space="0" w:color="auto"/>
            </w:tcBorders>
            <w:vAlign w:val="center"/>
          </w:tcPr>
          <w:p w14:paraId="14FD6B52" w14:textId="77777777" w:rsidR="00C938EC" w:rsidRPr="00AD4194" w:rsidRDefault="00C938EC" w:rsidP="009D31FC">
            <w:pPr>
              <w:jc w:val="center"/>
              <w:rPr>
                <w:rFonts w:ascii="Arial" w:hAnsi="Arial" w:cs="Arial"/>
                <w:sz w:val="18"/>
                <w:szCs w:val="18"/>
              </w:rPr>
            </w:pPr>
            <w:r>
              <w:rPr>
                <w:rFonts w:ascii="Arial" w:hAnsi="Arial" w:cs="Arial"/>
                <w:sz w:val="18"/>
                <w:szCs w:val="18"/>
              </w:rPr>
              <w:t>&lt;</w:t>
            </w:r>
            <w:r w:rsidRPr="00AD4194">
              <w:rPr>
                <w:rFonts w:ascii="Arial" w:hAnsi="Arial" w:cs="Arial"/>
                <w:sz w:val="18"/>
                <w:szCs w:val="18"/>
              </w:rPr>
              <w:t xml:space="preserve"> 10 %                  1</w:t>
            </w:r>
          </w:p>
        </w:tc>
        <w:tc>
          <w:tcPr>
            <w:tcW w:w="1540" w:type="dxa"/>
            <w:gridSpan w:val="2"/>
            <w:tcBorders>
              <w:top w:val="nil"/>
              <w:left w:val="nil"/>
              <w:bottom w:val="single" w:sz="4" w:space="0" w:color="auto"/>
              <w:right w:val="single" w:sz="4" w:space="0" w:color="auto"/>
            </w:tcBorders>
            <w:vAlign w:val="center"/>
          </w:tcPr>
          <w:p w14:paraId="590AD66B" w14:textId="77777777" w:rsidR="00C938EC" w:rsidRPr="00AD4194" w:rsidRDefault="00C938EC" w:rsidP="009D31FC">
            <w:pPr>
              <w:jc w:val="center"/>
              <w:rPr>
                <w:rFonts w:ascii="Arial" w:hAnsi="Arial" w:cs="Arial"/>
                <w:sz w:val="18"/>
                <w:szCs w:val="18"/>
              </w:rPr>
            </w:pPr>
            <w:r w:rsidRPr="00AD4194">
              <w:rPr>
                <w:rFonts w:ascii="Arial" w:hAnsi="Arial" w:cs="Arial"/>
                <w:sz w:val="18"/>
                <w:szCs w:val="18"/>
              </w:rPr>
              <w:t>11 to 30 %                   3</w:t>
            </w:r>
          </w:p>
        </w:tc>
        <w:tc>
          <w:tcPr>
            <w:tcW w:w="1540" w:type="dxa"/>
            <w:gridSpan w:val="2"/>
            <w:tcBorders>
              <w:top w:val="nil"/>
              <w:left w:val="nil"/>
              <w:bottom w:val="single" w:sz="4" w:space="0" w:color="auto"/>
              <w:right w:val="single" w:sz="4" w:space="0" w:color="auto"/>
            </w:tcBorders>
            <w:vAlign w:val="center"/>
          </w:tcPr>
          <w:p w14:paraId="0FD0B877" w14:textId="77777777" w:rsidR="00C938EC" w:rsidRPr="00AD4194" w:rsidRDefault="00C938EC" w:rsidP="009D31FC">
            <w:pPr>
              <w:jc w:val="center"/>
              <w:rPr>
                <w:rFonts w:ascii="Arial" w:hAnsi="Arial" w:cs="Arial"/>
                <w:sz w:val="18"/>
                <w:szCs w:val="18"/>
              </w:rPr>
            </w:pPr>
            <w:r w:rsidRPr="00AD4194">
              <w:rPr>
                <w:rFonts w:ascii="Arial" w:hAnsi="Arial" w:cs="Arial"/>
                <w:sz w:val="18"/>
                <w:szCs w:val="18"/>
              </w:rPr>
              <w:t>31 to 50 %            5</w:t>
            </w:r>
          </w:p>
        </w:tc>
        <w:tc>
          <w:tcPr>
            <w:tcW w:w="1470" w:type="dxa"/>
            <w:tcBorders>
              <w:top w:val="nil"/>
              <w:left w:val="nil"/>
              <w:bottom w:val="single" w:sz="4" w:space="0" w:color="auto"/>
              <w:right w:val="nil"/>
            </w:tcBorders>
            <w:vAlign w:val="center"/>
          </w:tcPr>
          <w:p w14:paraId="55416ECB" w14:textId="77777777" w:rsidR="00C938EC" w:rsidRPr="00AD4194" w:rsidRDefault="00C938EC" w:rsidP="009D31FC">
            <w:pPr>
              <w:jc w:val="center"/>
              <w:rPr>
                <w:rFonts w:ascii="Arial" w:hAnsi="Arial" w:cs="Arial"/>
                <w:sz w:val="18"/>
                <w:szCs w:val="18"/>
              </w:rPr>
            </w:pPr>
            <w:r w:rsidRPr="00AD4194">
              <w:rPr>
                <w:rFonts w:ascii="Arial" w:hAnsi="Arial" w:cs="Arial"/>
                <w:sz w:val="18"/>
                <w:szCs w:val="18"/>
              </w:rPr>
              <w:t>&gt; 50 %                     7</w:t>
            </w:r>
          </w:p>
        </w:tc>
      </w:tr>
      <w:tr w:rsidR="00C938EC" w:rsidRPr="00AD4194" w14:paraId="7C27F4CB" w14:textId="77777777" w:rsidTr="00EF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3837" w:type="dxa"/>
            <w:gridSpan w:val="3"/>
            <w:tcBorders>
              <w:top w:val="nil"/>
              <w:left w:val="single" w:sz="8" w:space="0" w:color="auto"/>
              <w:bottom w:val="single" w:sz="4" w:space="0" w:color="auto"/>
              <w:right w:val="single" w:sz="4" w:space="0" w:color="auto"/>
            </w:tcBorders>
            <w:vAlign w:val="center"/>
          </w:tcPr>
          <w:p w14:paraId="364FDF6F" w14:textId="77777777" w:rsidR="00C938EC" w:rsidRPr="00EF7F7A" w:rsidRDefault="00C938EC" w:rsidP="009D31FC">
            <w:pPr>
              <w:rPr>
                <w:rFonts w:ascii="Arial" w:hAnsi="Arial" w:cs="Arial"/>
                <w:b/>
                <w:sz w:val="18"/>
                <w:szCs w:val="18"/>
              </w:rPr>
            </w:pPr>
            <w:r w:rsidRPr="00EF7F7A">
              <w:rPr>
                <w:rFonts w:ascii="Arial" w:hAnsi="Arial" w:cs="Arial"/>
                <w:b/>
                <w:sz w:val="18"/>
                <w:szCs w:val="18"/>
              </w:rPr>
              <w:t>Predominant Aspect</w:t>
            </w:r>
            <w:r w:rsidR="00C46D82" w:rsidRPr="00EF7F7A">
              <w:rPr>
                <w:rFonts w:ascii="Arial" w:hAnsi="Arial" w:cs="Arial"/>
                <w:b/>
                <w:sz w:val="18"/>
                <w:szCs w:val="18"/>
              </w:rPr>
              <w:t xml:space="preserve"> of the Harvest Area</w:t>
            </w:r>
          </w:p>
        </w:tc>
        <w:tc>
          <w:tcPr>
            <w:tcW w:w="1333" w:type="dxa"/>
            <w:tcBorders>
              <w:top w:val="nil"/>
              <w:left w:val="nil"/>
              <w:bottom w:val="single" w:sz="4" w:space="0" w:color="auto"/>
              <w:right w:val="single" w:sz="4" w:space="0" w:color="auto"/>
            </w:tcBorders>
            <w:vAlign w:val="center"/>
          </w:tcPr>
          <w:p w14:paraId="313B6D42" w14:textId="77777777" w:rsidR="00C938EC" w:rsidRPr="00AD4194" w:rsidRDefault="00C938EC" w:rsidP="009D31FC">
            <w:pPr>
              <w:jc w:val="center"/>
              <w:rPr>
                <w:rFonts w:ascii="Arial" w:hAnsi="Arial" w:cs="Arial"/>
                <w:sz w:val="18"/>
                <w:szCs w:val="18"/>
              </w:rPr>
            </w:pPr>
            <w:r w:rsidRPr="00AD4194">
              <w:rPr>
                <w:rFonts w:ascii="Arial" w:hAnsi="Arial" w:cs="Arial"/>
                <w:sz w:val="18"/>
                <w:szCs w:val="18"/>
              </w:rPr>
              <w:t xml:space="preserve">N, NE, NW                     </w:t>
            </w:r>
            <w:r>
              <w:rPr>
                <w:rFonts w:ascii="Arial" w:hAnsi="Arial" w:cs="Arial"/>
                <w:sz w:val="18"/>
                <w:szCs w:val="18"/>
              </w:rPr>
              <w:t>-1</w:t>
            </w:r>
          </w:p>
        </w:tc>
        <w:tc>
          <w:tcPr>
            <w:tcW w:w="1540" w:type="dxa"/>
            <w:gridSpan w:val="2"/>
            <w:tcBorders>
              <w:top w:val="nil"/>
              <w:left w:val="nil"/>
              <w:bottom w:val="single" w:sz="4" w:space="0" w:color="auto"/>
              <w:right w:val="single" w:sz="4" w:space="0" w:color="auto"/>
            </w:tcBorders>
            <w:vAlign w:val="center"/>
          </w:tcPr>
          <w:p w14:paraId="4FDB3ED7" w14:textId="77777777" w:rsidR="00C938EC" w:rsidRPr="00AD4194" w:rsidRDefault="00C938EC" w:rsidP="009D31FC">
            <w:pPr>
              <w:jc w:val="center"/>
              <w:rPr>
                <w:rFonts w:ascii="Arial" w:hAnsi="Arial" w:cs="Arial"/>
                <w:sz w:val="18"/>
                <w:szCs w:val="18"/>
              </w:rPr>
            </w:pPr>
            <w:r w:rsidRPr="00AD4194">
              <w:rPr>
                <w:rFonts w:ascii="Arial" w:hAnsi="Arial" w:cs="Arial"/>
                <w:sz w:val="18"/>
                <w:szCs w:val="18"/>
              </w:rPr>
              <w:t xml:space="preserve">E,                        </w:t>
            </w:r>
            <w:r>
              <w:rPr>
                <w:rFonts w:ascii="Arial" w:hAnsi="Arial" w:cs="Arial"/>
                <w:sz w:val="18"/>
                <w:szCs w:val="18"/>
              </w:rPr>
              <w:t>1</w:t>
            </w:r>
          </w:p>
        </w:tc>
        <w:tc>
          <w:tcPr>
            <w:tcW w:w="1540" w:type="dxa"/>
            <w:gridSpan w:val="2"/>
            <w:tcBorders>
              <w:top w:val="nil"/>
              <w:left w:val="nil"/>
              <w:bottom w:val="single" w:sz="4" w:space="0" w:color="auto"/>
              <w:right w:val="single" w:sz="4" w:space="0" w:color="auto"/>
            </w:tcBorders>
            <w:vAlign w:val="center"/>
          </w:tcPr>
          <w:p w14:paraId="29068AFC" w14:textId="77777777" w:rsidR="00C938EC" w:rsidRPr="00AD4194" w:rsidRDefault="00C938EC" w:rsidP="009D31FC">
            <w:pPr>
              <w:jc w:val="center"/>
              <w:rPr>
                <w:rFonts w:ascii="Arial" w:hAnsi="Arial" w:cs="Arial"/>
                <w:sz w:val="18"/>
                <w:szCs w:val="18"/>
              </w:rPr>
            </w:pPr>
            <w:r w:rsidRPr="00AD4194">
              <w:rPr>
                <w:rFonts w:ascii="Arial" w:hAnsi="Arial" w:cs="Arial"/>
                <w:sz w:val="18"/>
                <w:szCs w:val="18"/>
              </w:rPr>
              <w:t>W</w:t>
            </w:r>
            <w:r>
              <w:rPr>
                <w:rFonts w:ascii="Arial" w:hAnsi="Arial" w:cs="Arial"/>
                <w:sz w:val="18"/>
                <w:szCs w:val="18"/>
              </w:rPr>
              <w:t xml:space="preserve"> or</w:t>
            </w:r>
            <w:r w:rsidRPr="00AD4194">
              <w:rPr>
                <w:rFonts w:ascii="Arial" w:hAnsi="Arial" w:cs="Arial"/>
                <w:sz w:val="18"/>
                <w:szCs w:val="18"/>
              </w:rPr>
              <w:t xml:space="preserve"> </w:t>
            </w:r>
            <w:r>
              <w:rPr>
                <w:rFonts w:ascii="Arial" w:hAnsi="Arial" w:cs="Arial"/>
                <w:sz w:val="18"/>
                <w:szCs w:val="18"/>
              </w:rPr>
              <w:t>flat</w:t>
            </w:r>
            <w:r w:rsidRPr="00AD4194">
              <w:rPr>
                <w:rFonts w:ascii="Arial" w:hAnsi="Arial" w:cs="Arial"/>
                <w:sz w:val="18"/>
                <w:szCs w:val="18"/>
              </w:rPr>
              <w:t xml:space="preserve">                    </w:t>
            </w:r>
            <w:r>
              <w:rPr>
                <w:rFonts w:ascii="Arial" w:hAnsi="Arial" w:cs="Arial"/>
                <w:sz w:val="18"/>
                <w:szCs w:val="18"/>
              </w:rPr>
              <w:t>3</w:t>
            </w:r>
          </w:p>
        </w:tc>
        <w:tc>
          <w:tcPr>
            <w:tcW w:w="1470" w:type="dxa"/>
            <w:tcBorders>
              <w:top w:val="nil"/>
              <w:left w:val="nil"/>
              <w:bottom w:val="single" w:sz="4" w:space="0" w:color="auto"/>
              <w:right w:val="nil"/>
            </w:tcBorders>
            <w:vAlign w:val="center"/>
          </w:tcPr>
          <w:p w14:paraId="7B0EA6F5" w14:textId="77777777" w:rsidR="00C938EC" w:rsidRPr="00AD4194" w:rsidRDefault="00C938EC" w:rsidP="009D31FC">
            <w:pPr>
              <w:jc w:val="center"/>
              <w:rPr>
                <w:rFonts w:ascii="Arial" w:hAnsi="Arial" w:cs="Arial"/>
                <w:sz w:val="18"/>
                <w:szCs w:val="18"/>
              </w:rPr>
            </w:pPr>
            <w:r w:rsidRPr="00AD4194">
              <w:rPr>
                <w:rFonts w:ascii="Arial" w:hAnsi="Arial" w:cs="Arial"/>
                <w:sz w:val="18"/>
                <w:szCs w:val="18"/>
              </w:rPr>
              <w:t xml:space="preserve">S, SW  </w:t>
            </w:r>
            <w:r>
              <w:rPr>
                <w:rFonts w:ascii="Arial" w:hAnsi="Arial" w:cs="Arial"/>
                <w:sz w:val="18"/>
                <w:szCs w:val="18"/>
              </w:rPr>
              <w:t>SE</w:t>
            </w:r>
            <w:r w:rsidRPr="00AD4194">
              <w:rPr>
                <w:rFonts w:ascii="Arial" w:hAnsi="Arial" w:cs="Arial"/>
                <w:sz w:val="18"/>
                <w:szCs w:val="18"/>
              </w:rPr>
              <w:t xml:space="preserve">                       </w:t>
            </w:r>
            <w:r>
              <w:rPr>
                <w:rFonts w:ascii="Arial" w:hAnsi="Arial" w:cs="Arial"/>
                <w:sz w:val="18"/>
                <w:szCs w:val="18"/>
              </w:rPr>
              <w:t>6</w:t>
            </w:r>
          </w:p>
        </w:tc>
      </w:tr>
      <w:tr w:rsidR="00C938EC" w:rsidRPr="00AD4194" w14:paraId="12E70E33" w14:textId="77777777" w:rsidTr="00EF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4"/>
        </w:trPr>
        <w:tc>
          <w:tcPr>
            <w:tcW w:w="3837" w:type="dxa"/>
            <w:gridSpan w:val="3"/>
            <w:tcBorders>
              <w:top w:val="nil"/>
              <w:left w:val="single" w:sz="8" w:space="0" w:color="auto"/>
              <w:bottom w:val="single" w:sz="4" w:space="0" w:color="auto"/>
              <w:right w:val="single" w:sz="4" w:space="0" w:color="auto"/>
            </w:tcBorders>
            <w:vAlign w:val="center"/>
          </w:tcPr>
          <w:p w14:paraId="23E71040" w14:textId="77777777" w:rsidR="00C938EC" w:rsidRPr="00AD4194" w:rsidRDefault="00C938EC" w:rsidP="00E20617">
            <w:pPr>
              <w:rPr>
                <w:rFonts w:ascii="Arial" w:hAnsi="Arial" w:cs="Arial"/>
                <w:sz w:val="18"/>
                <w:szCs w:val="18"/>
              </w:rPr>
            </w:pPr>
            <w:r w:rsidRPr="00EF7F7A">
              <w:rPr>
                <w:rFonts w:ascii="Arial" w:hAnsi="Arial" w:cs="Arial"/>
                <w:b/>
                <w:sz w:val="18"/>
                <w:szCs w:val="18"/>
              </w:rPr>
              <w:t xml:space="preserve">Special Factors &amp; </w:t>
            </w:r>
            <w:r w:rsidRPr="00835C0A">
              <w:rPr>
                <w:rFonts w:ascii="Arial" w:hAnsi="Arial" w:cs="Arial"/>
                <w:b/>
                <w:sz w:val="18"/>
                <w:szCs w:val="18"/>
              </w:rPr>
              <w:t>Nearby</w:t>
            </w:r>
            <w:r w:rsidRPr="00EF7F7A">
              <w:rPr>
                <w:rFonts w:ascii="Arial" w:hAnsi="Arial" w:cs="Arial"/>
                <w:b/>
                <w:sz w:val="18"/>
                <w:szCs w:val="18"/>
              </w:rPr>
              <w:t xml:space="preserve"> Values at </w:t>
            </w:r>
            <w:r w:rsidR="00111E72" w:rsidRPr="00EF7F7A">
              <w:rPr>
                <w:rFonts w:ascii="Arial" w:hAnsi="Arial" w:cs="Arial"/>
                <w:b/>
                <w:sz w:val="18"/>
                <w:szCs w:val="18"/>
              </w:rPr>
              <w:t>R</w:t>
            </w:r>
            <w:r w:rsidRPr="00EF7F7A">
              <w:rPr>
                <w:rFonts w:ascii="Arial" w:hAnsi="Arial" w:cs="Arial"/>
                <w:b/>
                <w:sz w:val="18"/>
                <w:szCs w:val="18"/>
              </w:rPr>
              <w:t>isk</w:t>
            </w:r>
            <w:r w:rsidRPr="00AD4194">
              <w:rPr>
                <w:rFonts w:ascii="Arial" w:hAnsi="Arial" w:cs="Arial"/>
                <w:sz w:val="18"/>
                <w:szCs w:val="18"/>
              </w:rPr>
              <w:t xml:space="preserve">                                   (</w:t>
            </w:r>
            <w:r w:rsidRPr="00835C0A">
              <w:rPr>
                <w:rFonts w:ascii="Arial" w:hAnsi="Arial" w:cs="Arial"/>
                <w:sz w:val="18"/>
                <w:szCs w:val="18"/>
              </w:rPr>
              <w:t>BGC</w:t>
            </w:r>
            <w:r w:rsidRPr="00AD4194">
              <w:rPr>
                <w:rFonts w:ascii="Arial" w:hAnsi="Arial" w:cs="Arial"/>
                <w:sz w:val="18"/>
                <w:szCs w:val="18"/>
              </w:rPr>
              <w:t xml:space="preserve"> zone</w:t>
            </w:r>
            <w:r w:rsidR="00732AF9">
              <w:rPr>
                <w:rFonts w:ascii="Arial" w:hAnsi="Arial" w:cs="Arial"/>
                <w:sz w:val="18"/>
                <w:szCs w:val="18"/>
              </w:rPr>
              <w:t xml:space="preserve"> and site series</w:t>
            </w:r>
            <w:r>
              <w:rPr>
                <w:rFonts w:ascii="Arial" w:hAnsi="Arial" w:cs="Arial"/>
                <w:sz w:val="18"/>
                <w:szCs w:val="18"/>
              </w:rPr>
              <w:t xml:space="preserve">, Private </w:t>
            </w:r>
            <w:r w:rsidR="00E20617">
              <w:rPr>
                <w:rFonts w:ascii="Arial" w:hAnsi="Arial" w:cs="Arial"/>
                <w:sz w:val="18"/>
                <w:szCs w:val="18"/>
              </w:rPr>
              <w:t>residences</w:t>
            </w:r>
            <w:r>
              <w:rPr>
                <w:rFonts w:ascii="Arial" w:hAnsi="Arial" w:cs="Arial"/>
                <w:sz w:val="18"/>
                <w:szCs w:val="18"/>
              </w:rPr>
              <w:t xml:space="preserve">, </w:t>
            </w:r>
            <w:r w:rsidR="00E20617">
              <w:rPr>
                <w:rFonts w:ascii="Arial" w:hAnsi="Arial" w:cs="Arial"/>
                <w:sz w:val="18"/>
                <w:szCs w:val="18"/>
              </w:rPr>
              <w:t xml:space="preserve">recreation features, </w:t>
            </w:r>
            <w:r>
              <w:rPr>
                <w:rFonts w:ascii="Arial" w:hAnsi="Arial" w:cs="Arial"/>
                <w:sz w:val="18"/>
                <w:szCs w:val="18"/>
              </w:rPr>
              <w:t xml:space="preserve">infrastructure, </w:t>
            </w:r>
            <w:r w:rsidR="00E20617">
              <w:rPr>
                <w:rFonts w:ascii="Arial" w:hAnsi="Arial" w:cs="Arial"/>
                <w:sz w:val="18"/>
                <w:szCs w:val="18"/>
              </w:rPr>
              <w:t xml:space="preserve">fish and wildlife values, </w:t>
            </w:r>
            <w:r w:rsidRPr="00AD4194">
              <w:rPr>
                <w:rFonts w:ascii="Arial" w:hAnsi="Arial" w:cs="Arial"/>
                <w:sz w:val="18"/>
                <w:szCs w:val="18"/>
              </w:rPr>
              <w:t>etc.)</w:t>
            </w:r>
          </w:p>
        </w:tc>
        <w:tc>
          <w:tcPr>
            <w:tcW w:w="4413" w:type="dxa"/>
            <w:gridSpan w:val="5"/>
            <w:tcBorders>
              <w:top w:val="single" w:sz="4" w:space="0" w:color="auto"/>
              <w:left w:val="nil"/>
              <w:bottom w:val="single" w:sz="4" w:space="0" w:color="auto"/>
              <w:right w:val="single" w:sz="4" w:space="0" w:color="000000"/>
            </w:tcBorders>
          </w:tcPr>
          <w:p w14:paraId="72672E81" w14:textId="77777777" w:rsidR="00C938EC" w:rsidRPr="00AD4194" w:rsidRDefault="00EF7F7A" w:rsidP="009D31FC">
            <w:pPr>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5DE18BF6" wp14:editId="30C343D8">
                      <wp:simplePos x="0" y="0"/>
                      <wp:positionH relativeFrom="column">
                        <wp:posOffset>-14605</wp:posOffset>
                      </wp:positionH>
                      <wp:positionV relativeFrom="paragraph">
                        <wp:posOffset>511810</wp:posOffset>
                      </wp:positionV>
                      <wp:extent cx="2695575" cy="9525"/>
                      <wp:effectExtent l="0" t="0" r="28575" b="285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1DD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3pt" to="211.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"/>
                  </w:pict>
                </mc:Fallback>
              </mc:AlternateContent>
            </w:r>
            <w:r>
              <w:rPr>
                <w:noProof/>
              </w:rPr>
              <mc:AlternateContent>
                <mc:Choice Requires="wps">
                  <w:drawing>
                    <wp:anchor distT="0" distB="0" distL="114300" distR="114300" simplePos="0" relativeHeight="251660288" behindDoc="0" locked="0" layoutInCell="1" allowOverlap="1" wp14:anchorId="4E0E8963" wp14:editId="1EB98597">
                      <wp:simplePos x="0" y="0"/>
                      <wp:positionH relativeFrom="column">
                        <wp:posOffset>1270</wp:posOffset>
                      </wp:positionH>
                      <wp:positionV relativeFrom="paragraph">
                        <wp:posOffset>321310</wp:posOffset>
                      </wp:positionV>
                      <wp:extent cx="2676525" cy="9525"/>
                      <wp:effectExtent l="0" t="0" r="28575" b="2857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AC9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3pt" to="210.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"/>
                  </w:pict>
                </mc:Fallback>
              </mc:AlternateContent>
            </w:r>
            <w:r w:rsidR="00C938EC" w:rsidRPr="00AD4194">
              <w:rPr>
                <w:rFonts w:ascii="Arial" w:hAnsi="Arial" w:cs="Arial"/>
                <w:sz w:val="18"/>
                <w:szCs w:val="18"/>
              </w:rPr>
              <w:t>This factor rates from -3 to +4 to cover the following situation</w:t>
            </w:r>
            <w:r w:rsidR="00C938EC">
              <w:rPr>
                <w:rFonts w:ascii="Arial" w:hAnsi="Arial" w:cs="Arial"/>
                <w:sz w:val="18"/>
                <w:szCs w:val="18"/>
              </w:rPr>
              <w:t>(s)</w:t>
            </w:r>
            <w:r w:rsidR="00C938EC" w:rsidRPr="00AD4194">
              <w:rPr>
                <w:rFonts w:ascii="Arial" w:hAnsi="Arial" w:cs="Arial"/>
                <w:sz w:val="18"/>
                <w:szCs w:val="18"/>
              </w:rPr>
              <w:t>:</w:t>
            </w:r>
          </w:p>
        </w:tc>
        <w:tc>
          <w:tcPr>
            <w:tcW w:w="1470" w:type="dxa"/>
            <w:tcBorders>
              <w:top w:val="nil"/>
              <w:left w:val="nil"/>
              <w:bottom w:val="single" w:sz="4" w:space="0" w:color="auto"/>
              <w:right w:val="single" w:sz="8" w:space="0" w:color="auto"/>
            </w:tcBorders>
          </w:tcPr>
          <w:p w14:paraId="7B700119" w14:textId="77777777" w:rsidR="00C938EC" w:rsidRPr="00AD4194" w:rsidRDefault="00C938EC" w:rsidP="009D31FC">
            <w:pPr>
              <w:jc w:val="center"/>
              <w:rPr>
                <w:rFonts w:ascii="Arial" w:hAnsi="Arial" w:cs="Arial"/>
                <w:sz w:val="18"/>
                <w:szCs w:val="18"/>
              </w:rPr>
            </w:pPr>
            <w:r w:rsidRPr="00AD4194">
              <w:rPr>
                <w:rFonts w:ascii="Arial" w:hAnsi="Arial" w:cs="Arial"/>
                <w:sz w:val="18"/>
                <w:szCs w:val="18"/>
              </w:rPr>
              <w:t>Points(+/-)</w:t>
            </w:r>
          </w:p>
        </w:tc>
      </w:tr>
      <w:tr w:rsidR="00C938EC" w14:paraId="3631EC21" w14:textId="77777777" w:rsidTr="009D3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5170" w:type="dxa"/>
            <w:gridSpan w:val="4"/>
            <w:tcBorders>
              <w:top w:val="single" w:sz="4" w:space="0" w:color="auto"/>
              <w:left w:val="single" w:sz="4" w:space="0" w:color="auto"/>
              <w:bottom w:val="single" w:sz="4" w:space="0" w:color="auto"/>
              <w:right w:val="single" w:sz="4" w:space="0" w:color="auto"/>
            </w:tcBorders>
            <w:vAlign w:val="center"/>
          </w:tcPr>
          <w:p w14:paraId="45188694" w14:textId="77777777" w:rsidR="00C938EC" w:rsidRDefault="00C938EC" w:rsidP="00D70438">
            <w:pPr>
              <w:rPr>
                <w:rFonts w:ascii="Arial" w:hAnsi="Arial" w:cs="Arial"/>
                <w:b/>
                <w:bCs/>
                <w:sz w:val="20"/>
                <w:szCs w:val="20"/>
              </w:rPr>
            </w:pPr>
            <w:r>
              <w:rPr>
                <w:rFonts w:ascii="Arial" w:hAnsi="Arial" w:cs="Arial"/>
                <w:b/>
                <w:bCs/>
                <w:sz w:val="20"/>
                <w:szCs w:val="20"/>
              </w:rPr>
              <w:t>Low = &lt; 20     Moderate = 2</w:t>
            </w:r>
            <w:r w:rsidR="00D70438">
              <w:rPr>
                <w:rFonts w:ascii="Arial" w:hAnsi="Arial" w:cs="Arial"/>
                <w:b/>
                <w:bCs/>
                <w:sz w:val="20"/>
                <w:szCs w:val="20"/>
              </w:rPr>
              <w:t>0</w:t>
            </w:r>
            <w:r>
              <w:rPr>
                <w:rFonts w:ascii="Arial" w:hAnsi="Arial" w:cs="Arial"/>
                <w:b/>
                <w:bCs/>
                <w:sz w:val="20"/>
                <w:szCs w:val="20"/>
              </w:rPr>
              <w:t xml:space="preserve">-26      High </w:t>
            </w:r>
            <w:r w:rsidR="00D70438">
              <w:rPr>
                <w:rFonts w:ascii="Arial" w:hAnsi="Arial" w:cs="Arial"/>
                <w:b/>
                <w:bCs/>
                <w:sz w:val="20"/>
                <w:szCs w:val="20"/>
              </w:rPr>
              <w:t>&gt;</w:t>
            </w:r>
            <w:r>
              <w:rPr>
                <w:rFonts w:ascii="Arial" w:hAnsi="Arial" w:cs="Arial"/>
                <w:b/>
                <w:bCs/>
                <w:sz w:val="20"/>
                <w:szCs w:val="20"/>
              </w:rPr>
              <w:t xml:space="preserve"> 26+</w:t>
            </w:r>
          </w:p>
        </w:tc>
        <w:tc>
          <w:tcPr>
            <w:tcW w:w="3080" w:type="dxa"/>
            <w:gridSpan w:val="4"/>
            <w:tcBorders>
              <w:top w:val="single" w:sz="4" w:space="0" w:color="auto"/>
              <w:left w:val="nil"/>
              <w:bottom w:val="single" w:sz="4" w:space="0" w:color="auto"/>
              <w:right w:val="single" w:sz="4" w:space="0" w:color="auto"/>
            </w:tcBorders>
            <w:vAlign w:val="center"/>
          </w:tcPr>
          <w:p w14:paraId="58EFC39D" w14:textId="77777777" w:rsidR="00C938EC" w:rsidRDefault="00C938EC" w:rsidP="009D31FC">
            <w:pPr>
              <w:jc w:val="right"/>
              <w:rPr>
                <w:rFonts w:ascii="Arial" w:hAnsi="Arial" w:cs="Arial"/>
                <w:b/>
                <w:bCs/>
                <w:sz w:val="20"/>
                <w:szCs w:val="20"/>
              </w:rPr>
            </w:pPr>
            <w:r>
              <w:rPr>
                <w:rFonts w:ascii="Arial" w:hAnsi="Arial" w:cs="Arial"/>
                <w:b/>
                <w:bCs/>
                <w:sz w:val="20"/>
                <w:szCs w:val="20"/>
              </w:rPr>
              <w:t>Fire Hazard Assessment Total</w:t>
            </w:r>
          </w:p>
        </w:tc>
        <w:tc>
          <w:tcPr>
            <w:tcW w:w="1470" w:type="dxa"/>
            <w:tcBorders>
              <w:top w:val="nil"/>
              <w:left w:val="nil"/>
              <w:bottom w:val="single" w:sz="8" w:space="0" w:color="auto"/>
              <w:right w:val="single" w:sz="8" w:space="0" w:color="auto"/>
            </w:tcBorders>
            <w:noWrap/>
            <w:vAlign w:val="bottom"/>
          </w:tcPr>
          <w:p w14:paraId="013054CD" w14:textId="77777777" w:rsidR="00C938EC" w:rsidRDefault="00C938EC" w:rsidP="009D31FC">
            <w:pPr>
              <w:rPr>
                <w:rFonts w:ascii="Arial" w:hAnsi="Arial" w:cs="Arial"/>
                <w:sz w:val="20"/>
                <w:szCs w:val="20"/>
              </w:rPr>
            </w:pPr>
            <w:r>
              <w:rPr>
                <w:rFonts w:ascii="Arial" w:hAnsi="Arial" w:cs="Arial"/>
                <w:sz w:val="20"/>
                <w:szCs w:val="20"/>
              </w:rPr>
              <w:t> </w:t>
            </w:r>
          </w:p>
        </w:tc>
      </w:tr>
    </w:tbl>
    <w:p w14:paraId="084F83D8" w14:textId="77777777" w:rsidR="00EC2A8F" w:rsidRDefault="00EC2A8F" w:rsidP="00C712F7">
      <w:pPr>
        <w:rPr>
          <w:b/>
          <w:sz w:val="20"/>
          <w:szCs w:val="20"/>
          <w:u w:val="single"/>
        </w:rPr>
      </w:pPr>
    </w:p>
    <w:p w14:paraId="6893CC0C" w14:textId="0907D5AF" w:rsidR="005E1D2E" w:rsidRDefault="005E1D2E" w:rsidP="00C712F7">
      <w:pPr>
        <w:rPr>
          <w:b/>
          <w:sz w:val="20"/>
          <w:szCs w:val="20"/>
          <w:u w:val="single"/>
        </w:rPr>
      </w:pPr>
    </w:p>
    <w:p w14:paraId="343C758C" w14:textId="0C9D4E94" w:rsidR="000E1E00" w:rsidRDefault="00C712F7" w:rsidP="00C712F7">
      <w:pPr>
        <w:rPr>
          <w:sz w:val="20"/>
          <w:szCs w:val="20"/>
        </w:rPr>
      </w:pPr>
      <w:r w:rsidRPr="000E1E00">
        <w:rPr>
          <w:b/>
          <w:sz w:val="20"/>
          <w:szCs w:val="20"/>
          <w:u w:val="single"/>
        </w:rPr>
        <w:t>Hazard Abatement Plan for Dispersed Slash:</w:t>
      </w:r>
      <w:r w:rsidRPr="008C5247">
        <w:rPr>
          <w:sz w:val="20"/>
          <w:szCs w:val="20"/>
        </w:rPr>
        <w:tab/>
      </w:r>
      <w:r w:rsidRPr="008C5247">
        <w:rPr>
          <w:sz w:val="20"/>
          <w:szCs w:val="20"/>
        </w:rPr>
        <w:tab/>
      </w:r>
      <w:r w:rsidRPr="008C5247">
        <w:rPr>
          <w:sz w:val="20"/>
          <w:szCs w:val="20"/>
        </w:rPr>
        <w:tab/>
      </w:r>
      <w:r w:rsidRPr="008C5247">
        <w:rPr>
          <w:sz w:val="20"/>
          <w:szCs w:val="20"/>
        </w:rPr>
        <w:tab/>
      </w:r>
      <w:r w:rsidRPr="008C5247">
        <w:rPr>
          <w:sz w:val="20"/>
          <w:szCs w:val="20"/>
        </w:rPr>
        <w:tab/>
      </w:r>
      <w:r w:rsidRPr="008C5247">
        <w:rPr>
          <w:sz w:val="20"/>
          <w:szCs w:val="20"/>
        </w:rPr>
        <w:tab/>
      </w:r>
      <w:r w:rsidRPr="008C5247">
        <w:rPr>
          <w:sz w:val="20"/>
          <w:szCs w:val="20"/>
        </w:rPr>
        <w:tab/>
      </w:r>
      <w:r w:rsidRPr="008C5247">
        <w:rPr>
          <w:sz w:val="20"/>
          <w:szCs w:val="20"/>
        </w:rPr>
        <w:tab/>
      </w:r>
      <w:r w:rsidRPr="00F00E32">
        <w:rPr>
          <w:sz w:val="20"/>
          <w:szCs w:val="20"/>
        </w:rPr>
        <w:tab/>
      </w:r>
    </w:p>
    <w:p w14:paraId="0E764CB6" w14:textId="77777777" w:rsidR="00C712F7" w:rsidRDefault="00C712F7" w:rsidP="00C712F7">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8C5247">
        <w:rPr>
          <w:sz w:val="20"/>
          <w:szCs w:val="20"/>
        </w:rPr>
        <w:t>______________</w:t>
      </w:r>
      <w:r>
        <w:rPr>
          <w:sz w:val="20"/>
          <w:szCs w:val="20"/>
        </w:rPr>
        <w:t>______________________</w:t>
      </w:r>
      <w:r w:rsidR="000E1E00">
        <w:rPr>
          <w:sz w:val="20"/>
          <w:szCs w:val="20"/>
        </w:rPr>
        <w:t>__________________________________________________</w:t>
      </w:r>
    </w:p>
    <w:p w14:paraId="6B699537" w14:textId="77777777" w:rsidR="000E1E00" w:rsidRDefault="000E1E00" w:rsidP="00C712F7">
      <w:pPr>
        <w:rPr>
          <w:sz w:val="20"/>
          <w:szCs w:val="20"/>
          <w:u w:val="single"/>
        </w:rPr>
      </w:pPr>
      <w:r>
        <w:rPr>
          <w:sz w:val="20"/>
          <w:szCs w:val="20"/>
        </w:rPr>
        <w:t>____________________________________________________________________________________________________________</w:t>
      </w:r>
    </w:p>
    <w:p w14:paraId="4C8E5A89" w14:textId="77777777" w:rsidR="003F4716" w:rsidRPr="00133278" w:rsidRDefault="00732AF9" w:rsidP="00C938EC">
      <w:pPr>
        <w:rPr>
          <w:b/>
          <w:sz w:val="20"/>
          <w:szCs w:val="20"/>
          <w:u w:val="single"/>
        </w:rPr>
      </w:pPr>
      <w:r w:rsidRPr="00133278">
        <w:rPr>
          <w:b/>
          <w:sz w:val="20"/>
          <w:szCs w:val="20"/>
          <w:u w:val="single"/>
        </w:rPr>
        <w:t>Roadside or Landing Slash Accumulations</w:t>
      </w:r>
      <w:r>
        <w:rPr>
          <w:b/>
          <w:sz w:val="20"/>
          <w:szCs w:val="20"/>
          <w:u w:val="single"/>
        </w:rPr>
        <w:t xml:space="preserve"> Present: </w:t>
      </w:r>
      <w:r w:rsidR="003F4716">
        <w:rPr>
          <w:b/>
          <w:sz w:val="20"/>
          <w:szCs w:val="20"/>
          <w:u w:val="single"/>
        </w:rPr>
        <w:t xml:space="preserve"> </w:t>
      </w:r>
    </w:p>
    <w:tbl>
      <w:tblPr>
        <w:tblStyle w:val="TableGrid"/>
        <w:tblW w:w="0" w:type="auto"/>
        <w:tblInd w:w="108" w:type="dxa"/>
        <w:tblLook w:val="04A0" w:firstRow="1" w:lastRow="0" w:firstColumn="1" w:lastColumn="0" w:noHBand="0" w:noVBand="1"/>
      </w:tblPr>
      <w:tblGrid>
        <w:gridCol w:w="993"/>
        <w:gridCol w:w="992"/>
      </w:tblGrid>
      <w:tr w:rsidR="003F4716" w:rsidRPr="00F00E32" w14:paraId="58D9CCD6" w14:textId="77777777" w:rsidTr="009D31FC">
        <w:tc>
          <w:tcPr>
            <w:tcW w:w="993" w:type="dxa"/>
          </w:tcPr>
          <w:p w14:paraId="0C3427D8" w14:textId="77777777" w:rsidR="003F4716" w:rsidRPr="00F00E32" w:rsidRDefault="00530CEE" w:rsidP="009D31FC">
            <w:pPr>
              <w:rPr>
                <w:b/>
                <w:sz w:val="24"/>
                <w:szCs w:val="24"/>
              </w:rPr>
            </w:pPr>
            <w:sdt>
              <w:sdtPr>
                <w:rPr>
                  <w:b/>
                  <w:sz w:val="24"/>
                  <w:szCs w:val="24"/>
                </w:rPr>
                <w:id w:val="1616947126"/>
                <w14:checkbox>
                  <w14:checked w14:val="0"/>
                  <w14:checkedState w14:val="2612" w14:font="MS Gothic"/>
                  <w14:uncheckedState w14:val="2610" w14:font="MS Gothic"/>
                </w14:checkbox>
              </w:sdtPr>
              <w:sdtEndPr/>
              <w:sdtContent>
                <w:r w:rsidR="003F4716">
                  <w:rPr>
                    <w:rFonts w:ascii="MS Gothic" w:eastAsia="MS Gothic" w:hAnsi="MS Gothic" w:hint="eastAsia"/>
                    <w:b/>
                    <w:sz w:val="24"/>
                    <w:szCs w:val="24"/>
                  </w:rPr>
                  <w:t>☐</w:t>
                </w:r>
              </w:sdtContent>
            </w:sdt>
            <w:r w:rsidR="003F4716" w:rsidRPr="00F00E32">
              <w:rPr>
                <w:b/>
                <w:sz w:val="24"/>
                <w:szCs w:val="24"/>
              </w:rPr>
              <w:t xml:space="preserve"> Yes</w:t>
            </w:r>
          </w:p>
        </w:tc>
        <w:tc>
          <w:tcPr>
            <w:tcW w:w="992" w:type="dxa"/>
          </w:tcPr>
          <w:p w14:paraId="47E9366D" w14:textId="77777777" w:rsidR="003F4716" w:rsidRPr="00F00E32" w:rsidRDefault="00530CEE" w:rsidP="009D31FC">
            <w:pPr>
              <w:rPr>
                <w:b/>
                <w:sz w:val="24"/>
                <w:szCs w:val="24"/>
              </w:rPr>
            </w:pPr>
            <w:sdt>
              <w:sdtPr>
                <w:rPr>
                  <w:b/>
                  <w:sz w:val="24"/>
                  <w:szCs w:val="24"/>
                </w:rPr>
                <w:id w:val="1647473964"/>
                <w14:checkbox>
                  <w14:checked w14:val="0"/>
                  <w14:checkedState w14:val="2612" w14:font="MS Gothic"/>
                  <w14:uncheckedState w14:val="2610" w14:font="MS Gothic"/>
                </w14:checkbox>
              </w:sdtPr>
              <w:sdtEndPr/>
              <w:sdtContent>
                <w:r w:rsidR="003F4716" w:rsidRPr="00F00E32">
                  <w:rPr>
                    <w:rFonts w:ascii="MS Gothic" w:eastAsia="MS Gothic" w:hAnsi="MS Gothic" w:hint="eastAsia"/>
                    <w:b/>
                    <w:sz w:val="24"/>
                    <w:szCs w:val="24"/>
                  </w:rPr>
                  <w:t>☐</w:t>
                </w:r>
              </w:sdtContent>
            </w:sdt>
            <w:r w:rsidR="003F4716" w:rsidRPr="00F00E32">
              <w:rPr>
                <w:b/>
                <w:sz w:val="24"/>
                <w:szCs w:val="24"/>
              </w:rPr>
              <w:t xml:space="preserve"> No</w:t>
            </w:r>
          </w:p>
        </w:tc>
      </w:tr>
    </w:tbl>
    <w:p w14:paraId="5ABAFB08" w14:textId="3A1DFFD4" w:rsidR="009C3B7F" w:rsidRDefault="009C3B7F" w:rsidP="00C938EC">
      <w:pPr>
        <w:rPr>
          <w:b/>
          <w:sz w:val="20"/>
          <w:szCs w:val="20"/>
          <w:u w:val="single"/>
        </w:rPr>
      </w:pPr>
      <w:r>
        <w:rPr>
          <w:b/>
          <w:sz w:val="20"/>
          <w:szCs w:val="20"/>
          <w:u w:val="single"/>
        </w:rPr>
        <w:t xml:space="preserve">Roadside or Landing Slash Accumulations will be burnt or abated by an Alternate Method described below: </w:t>
      </w:r>
    </w:p>
    <w:tbl>
      <w:tblPr>
        <w:tblStyle w:val="TableGrid"/>
        <w:tblW w:w="0" w:type="auto"/>
        <w:tblInd w:w="108" w:type="dxa"/>
        <w:tblLook w:val="04A0" w:firstRow="1" w:lastRow="0" w:firstColumn="1" w:lastColumn="0" w:noHBand="0" w:noVBand="1"/>
      </w:tblPr>
      <w:tblGrid>
        <w:gridCol w:w="993"/>
        <w:gridCol w:w="992"/>
      </w:tblGrid>
      <w:tr w:rsidR="009C3B7F" w:rsidRPr="00F00E32" w14:paraId="0DA9031F" w14:textId="77777777" w:rsidTr="00F4030C">
        <w:tc>
          <w:tcPr>
            <w:tcW w:w="993" w:type="dxa"/>
          </w:tcPr>
          <w:p w14:paraId="565E9B98" w14:textId="77777777" w:rsidR="009C3B7F" w:rsidRPr="00F00E32" w:rsidRDefault="00530CEE" w:rsidP="00F4030C">
            <w:pPr>
              <w:rPr>
                <w:b/>
                <w:sz w:val="24"/>
                <w:szCs w:val="24"/>
              </w:rPr>
            </w:pPr>
            <w:sdt>
              <w:sdtPr>
                <w:rPr>
                  <w:b/>
                  <w:sz w:val="24"/>
                  <w:szCs w:val="24"/>
                </w:rPr>
                <w:id w:val="-1734071012"/>
                <w14:checkbox>
                  <w14:checked w14:val="0"/>
                  <w14:checkedState w14:val="2612" w14:font="MS Gothic"/>
                  <w14:uncheckedState w14:val="2610" w14:font="MS Gothic"/>
                </w14:checkbox>
              </w:sdtPr>
              <w:sdtEndPr/>
              <w:sdtContent>
                <w:r w:rsidR="009C3B7F">
                  <w:rPr>
                    <w:rFonts w:ascii="MS Gothic" w:eastAsia="MS Gothic" w:hAnsi="MS Gothic" w:hint="eastAsia"/>
                    <w:b/>
                    <w:sz w:val="24"/>
                    <w:szCs w:val="24"/>
                  </w:rPr>
                  <w:t>☐</w:t>
                </w:r>
              </w:sdtContent>
            </w:sdt>
            <w:r w:rsidR="009C3B7F" w:rsidRPr="00F00E32">
              <w:rPr>
                <w:b/>
                <w:sz w:val="24"/>
                <w:szCs w:val="24"/>
              </w:rPr>
              <w:t xml:space="preserve"> Yes</w:t>
            </w:r>
          </w:p>
        </w:tc>
        <w:tc>
          <w:tcPr>
            <w:tcW w:w="992" w:type="dxa"/>
          </w:tcPr>
          <w:p w14:paraId="0683E9B2" w14:textId="77777777" w:rsidR="009C3B7F" w:rsidRPr="00F00E32" w:rsidRDefault="00530CEE" w:rsidP="00F4030C">
            <w:pPr>
              <w:rPr>
                <w:b/>
                <w:sz w:val="24"/>
                <w:szCs w:val="24"/>
              </w:rPr>
            </w:pPr>
            <w:sdt>
              <w:sdtPr>
                <w:rPr>
                  <w:b/>
                  <w:sz w:val="24"/>
                  <w:szCs w:val="24"/>
                </w:rPr>
                <w:id w:val="-456325597"/>
                <w14:checkbox>
                  <w14:checked w14:val="0"/>
                  <w14:checkedState w14:val="2612" w14:font="MS Gothic"/>
                  <w14:uncheckedState w14:val="2610" w14:font="MS Gothic"/>
                </w14:checkbox>
              </w:sdtPr>
              <w:sdtEndPr/>
              <w:sdtContent>
                <w:r w:rsidR="009C3B7F" w:rsidRPr="00F00E32">
                  <w:rPr>
                    <w:rFonts w:ascii="MS Gothic" w:eastAsia="MS Gothic" w:hAnsi="MS Gothic" w:hint="eastAsia"/>
                    <w:b/>
                    <w:sz w:val="24"/>
                    <w:szCs w:val="24"/>
                  </w:rPr>
                  <w:t>☐</w:t>
                </w:r>
              </w:sdtContent>
            </w:sdt>
            <w:r w:rsidR="009C3B7F" w:rsidRPr="00F00E32">
              <w:rPr>
                <w:b/>
                <w:sz w:val="24"/>
                <w:szCs w:val="24"/>
              </w:rPr>
              <w:t xml:space="preserve"> No</w:t>
            </w:r>
          </w:p>
        </w:tc>
      </w:tr>
    </w:tbl>
    <w:p w14:paraId="5B5EF29C" w14:textId="0E83306C" w:rsidR="009C3B7F" w:rsidRDefault="009C3B7F" w:rsidP="00C938EC">
      <w:pPr>
        <w:rPr>
          <w:b/>
          <w:sz w:val="20"/>
          <w:szCs w:val="20"/>
          <w:u w:val="single"/>
        </w:rPr>
      </w:pPr>
    </w:p>
    <w:p w14:paraId="36941465" w14:textId="32E72082" w:rsidR="00C938EC" w:rsidRPr="00133278" w:rsidRDefault="00C938EC" w:rsidP="00C938EC">
      <w:pPr>
        <w:rPr>
          <w:b/>
          <w:sz w:val="20"/>
          <w:szCs w:val="20"/>
          <w:u w:val="single"/>
        </w:rPr>
      </w:pPr>
      <w:r w:rsidRPr="00133278">
        <w:rPr>
          <w:b/>
          <w:sz w:val="20"/>
          <w:szCs w:val="20"/>
          <w:u w:val="single"/>
        </w:rPr>
        <w:t>Hazard Abatement Plan for Roadside or Landing Slash Accumulations</w:t>
      </w:r>
      <w:r w:rsidR="009C3B7F">
        <w:rPr>
          <w:b/>
          <w:sz w:val="20"/>
          <w:szCs w:val="20"/>
          <w:u w:val="single"/>
        </w:rPr>
        <w:t xml:space="preserve">: A rationale must be provided by a qualified </w:t>
      </w:r>
      <w:r w:rsidR="00B833AD">
        <w:rPr>
          <w:b/>
          <w:sz w:val="20"/>
          <w:szCs w:val="20"/>
          <w:u w:val="single"/>
        </w:rPr>
        <w:t xml:space="preserve">forest </w:t>
      </w:r>
      <w:r w:rsidR="009C3B7F">
        <w:rPr>
          <w:b/>
          <w:sz w:val="20"/>
          <w:szCs w:val="20"/>
          <w:u w:val="single"/>
        </w:rPr>
        <w:t>p</w:t>
      </w:r>
      <w:r w:rsidR="00E85EC2">
        <w:rPr>
          <w:b/>
          <w:sz w:val="20"/>
          <w:szCs w:val="20"/>
          <w:u w:val="single"/>
        </w:rPr>
        <w:t xml:space="preserve">rofessional </w:t>
      </w:r>
      <w:r w:rsidR="009C3B7F">
        <w:rPr>
          <w:b/>
          <w:sz w:val="20"/>
          <w:szCs w:val="20"/>
          <w:u w:val="single"/>
        </w:rPr>
        <w:t xml:space="preserve">if the fire hazard associated with </w:t>
      </w:r>
      <w:r w:rsidR="00B833AD">
        <w:rPr>
          <w:b/>
          <w:sz w:val="20"/>
          <w:szCs w:val="20"/>
          <w:u w:val="single"/>
        </w:rPr>
        <w:t>r</w:t>
      </w:r>
      <w:r w:rsidR="009C3B7F">
        <w:rPr>
          <w:b/>
          <w:sz w:val="20"/>
          <w:szCs w:val="20"/>
          <w:u w:val="single"/>
        </w:rPr>
        <w:t xml:space="preserve">oadside or </w:t>
      </w:r>
      <w:r w:rsidR="00B833AD">
        <w:rPr>
          <w:b/>
          <w:sz w:val="20"/>
          <w:szCs w:val="20"/>
          <w:u w:val="single"/>
        </w:rPr>
        <w:t>l</w:t>
      </w:r>
      <w:r w:rsidR="009C3B7F">
        <w:rPr>
          <w:b/>
          <w:sz w:val="20"/>
          <w:szCs w:val="20"/>
          <w:u w:val="single"/>
        </w:rPr>
        <w:t xml:space="preserve">anding </w:t>
      </w:r>
      <w:r w:rsidR="00B833AD">
        <w:rPr>
          <w:b/>
          <w:sz w:val="20"/>
          <w:szCs w:val="20"/>
          <w:u w:val="single"/>
        </w:rPr>
        <w:t>s</w:t>
      </w:r>
      <w:r w:rsidR="009C3B7F">
        <w:rPr>
          <w:b/>
          <w:sz w:val="20"/>
          <w:szCs w:val="20"/>
          <w:u w:val="single"/>
        </w:rPr>
        <w:t xml:space="preserve">lash </w:t>
      </w:r>
      <w:r w:rsidR="00B833AD">
        <w:rPr>
          <w:b/>
          <w:sz w:val="20"/>
          <w:szCs w:val="20"/>
          <w:u w:val="single"/>
        </w:rPr>
        <w:t>a</w:t>
      </w:r>
      <w:r w:rsidR="009C3B7F">
        <w:rPr>
          <w:b/>
          <w:sz w:val="20"/>
          <w:szCs w:val="20"/>
          <w:u w:val="single"/>
        </w:rPr>
        <w:t>ccumulations is not proposed to be abated.</w:t>
      </w:r>
    </w:p>
    <w:p w14:paraId="69DF3AAF" w14:textId="77777777" w:rsidR="00C938EC" w:rsidRDefault="00C938EC" w:rsidP="00C938EC">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8C5247">
        <w:rPr>
          <w:sz w:val="20"/>
          <w:szCs w:val="20"/>
        </w:rPr>
        <w:t>______</w:t>
      </w:r>
      <w:r>
        <w:rPr>
          <w:sz w:val="20"/>
          <w:szCs w:val="20"/>
        </w:rPr>
        <w:t>_______________</w:t>
      </w:r>
      <w:r w:rsidR="00732AF9">
        <w:rPr>
          <w:sz w:val="20"/>
          <w:szCs w:val="20"/>
        </w:rPr>
        <w:t>_____________________________</w:t>
      </w:r>
    </w:p>
    <w:p w14:paraId="33DB3D2B" w14:textId="77777777" w:rsidR="00732AF9" w:rsidRPr="008C5247" w:rsidRDefault="00732AF9" w:rsidP="00C938EC">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w:t>
      </w:r>
    </w:p>
    <w:p w14:paraId="7CC65C2E" w14:textId="111D2A60" w:rsidR="0062739B" w:rsidRDefault="00C938EC" w:rsidP="00C938EC">
      <w:pPr>
        <w:rPr>
          <w:sz w:val="20"/>
          <w:szCs w:val="20"/>
        </w:rPr>
      </w:pPr>
      <w:r>
        <w:rPr>
          <w:sz w:val="20"/>
          <w:szCs w:val="20"/>
          <w:u w:val="single"/>
        </w:rPr>
        <w:t>Comments:</w:t>
      </w:r>
      <w:r w:rsidRPr="00BE0134">
        <w:rPr>
          <w:sz w:val="20"/>
          <w:szCs w:val="20"/>
        </w:rPr>
        <w:t xml:space="preserve"> (</w:t>
      </w:r>
      <w:r w:rsidR="003F4716">
        <w:rPr>
          <w:sz w:val="20"/>
          <w:szCs w:val="20"/>
        </w:rPr>
        <w:t xml:space="preserve">adjacent fuel hazards (e.g. blowdown, dead standing timber), </w:t>
      </w:r>
      <w:r w:rsidR="003F4716" w:rsidRPr="00835C0A">
        <w:rPr>
          <w:sz w:val="20"/>
          <w:szCs w:val="20"/>
        </w:rPr>
        <w:t>risk of lightning</w:t>
      </w:r>
      <w:r w:rsidR="003F4716">
        <w:rPr>
          <w:sz w:val="20"/>
          <w:szCs w:val="20"/>
        </w:rPr>
        <w:t xml:space="preserve"> or industrial </w:t>
      </w:r>
      <w:r w:rsidR="00226961">
        <w:rPr>
          <w:sz w:val="20"/>
          <w:szCs w:val="20"/>
        </w:rPr>
        <w:t xml:space="preserve">or recreation </w:t>
      </w:r>
      <w:r w:rsidR="003F4716">
        <w:rPr>
          <w:sz w:val="20"/>
          <w:szCs w:val="20"/>
        </w:rPr>
        <w:t>ignition, f</w:t>
      </w:r>
      <w:r w:rsidR="00732AF9">
        <w:rPr>
          <w:sz w:val="20"/>
          <w:szCs w:val="20"/>
        </w:rPr>
        <w:t>actors that decrease</w:t>
      </w:r>
      <w:r w:rsidR="003F4716">
        <w:rPr>
          <w:sz w:val="20"/>
          <w:szCs w:val="20"/>
        </w:rPr>
        <w:t xml:space="preserve"> the fire hazard (e.g. cutblock is adjacent to a lake or the ocean).</w:t>
      </w:r>
      <w:r w:rsidR="00732AF9">
        <w:rPr>
          <w:sz w:val="20"/>
          <w:szCs w:val="20"/>
        </w:rPr>
        <w:t xml:space="preserve"> </w:t>
      </w:r>
      <w:r w:rsidR="003F4716">
        <w:rPr>
          <w:sz w:val="20"/>
          <w:szCs w:val="20"/>
        </w:rPr>
        <w:t>V</w:t>
      </w:r>
      <w:r w:rsidRPr="00BE0134">
        <w:rPr>
          <w:sz w:val="20"/>
          <w:szCs w:val="20"/>
        </w:rPr>
        <w:t>alues at risk</w:t>
      </w:r>
      <w:r w:rsidR="0062739B">
        <w:rPr>
          <w:sz w:val="20"/>
          <w:szCs w:val="20"/>
        </w:rPr>
        <w:t xml:space="preserve"> should be described that warrant </w:t>
      </w:r>
      <w:r w:rsidR="00B80B27">
        <w:rPr>
          <w:sz w:val="20"/>
          <w:szCs w:val="20"/>
        </w:rPr>
        <w:t>more rigorous</w:t>
      </w:r>
      <w:r w:rsidR="0062739B">
        <w:rPr>
          <w:sz w:val="20"/>
          <w:szCs w:val="20"/>
        </w:rPr>
        <w:t xml:space="preserve"> fire hazard abatement treatments</w:t>
      </w:r>
      <w:r w:rsidR="00B0566B">
        <w:rPr>
          <w:sz w:val="20"/>
          <w:szCs w:val="20"/>
        </w:rPr>
        <w:t xml:space="preserve"> (i.e. a private residence, public road, important infrastructure, </w:t>
      </w:r>
      <w:r w:rsidR="00F43B05">
        <w:rPr>
          <w:sz w:val="20"/>
          <w:szCs w:val="20"/>
        </w:rPr>
        <w:t>recreation sites or trails, fish and wildlife values, etc.)</w:t>
      </w:r>
      <w:r w:rsidR="0062739B">
        <w:rPr>
          <w:sz w:val="20"/>
          <w:szCs w:val="20"/>
        </w:rPr>
        <w:t>.</w:t>
      </w:r>
    </w:p>
    <w:p w14:paraId="60CB4E70" w14:textId="77777777" w:rsidR="00C938EC" w:rsidRDefault="0062739B" w:rsidP="00C938EC">
      <w:pPr>
        <w:rPr>
          <w:sz w:val="20"/>
          <w:szCs w:val="20"/>
        </w:rPr>
      </w:pPr>
      <w:r>
        <w:rPr>
          <w:sz w:val="20"/>
          <w:szCs w:val="20"/>
        </w:rPr>
        <w:t>___________________________________________________________________________________________________________</w:t>
      </w:r>
      <w:r w:rsidR="003F4716">
        <w:rPr>
          <w:sz w:val="20"/>
          <w:szCs w:val="20"/>
        </w:rPr>
        <w:t xml:space="preserve"> </w:t>
      </w:r>
      <w:r w:rsidR="00C938EC">
        <w:rPr>
          <w:sz w:val="20"/>
          <w:szCs w:val="20"/>
        </w:rPr>
        <w:t xml:space="preserve"> _______________________________________________________________________</w:t>
      </w:r>
      <w:r w:rsidR="00732AF9">
        <w:rPr>
          <w:sz w:val="20"/>
          <w:szCs w:val="20"/>
        </w:rPr>
        <w:t>_______________</w:t>
      </w:r>
      <w:r>
        <w:rPr>
          <w:sz w:val="20"/>
          <w:szCs w:val="20"/>
        </w:rPr>
        <w:t>_____________________</w:t>
      </w:r>
    </w:p>
    <w:p w14:paraId="728D1718" w14:textId="77777777" w:rsidR="00732AF9" w:rsidRPr="00BE0134" w:rsidRDefault="00732AF9" w:rsidP="00C938EC">
      <w:pPr>
        <w:rPr>
          <w:sz w:val="20"/>
          <w:szCs w:val="20"/>
        </w:rPr>
      </w:pPr>
      <w:r>
        <w:rPr>
          <w:sz w:val="20"/>
          <w:szCs w:val="20"/>
        </w:rPr>
        <w:t>____________________________________________________________________________________________________________</w:t>
      </w:r>
    </w:p>
    <w:p w14:paraId="29BBEFF4" w14:textId="77777777" w:rsidR="00C938EC" w:rsidRDefault="00C938EC" w:rsidP="00C938EC">
      <w:pPr>
        <w:rPr>
          <w:b/>
          <w:sz w:val="20"/>
          <w:szCs w:val="20"/>
        </w:rPr>
      </w:pPr>
      <w:r>
        <w:rPr>
          <w:b/>
          <w:sz w:val="20"/>
          <w:szCs w:val="20"/>
        </w:rPr>
        <w:t>_____________________________________________________________________________________________</w:t>
      </w:r>
      <w:r w:rsidR="00732AF9">
        <w:rPr>
          <w:b/>
          <w:sz w:val="20"/>
          <w:szCs w:val="20"/>
        </w:rPr>
        <w:t>_______________</w:t>
      </w:r>
    </w:p>
    <w:p w14:paraId="29F11D69" w14:textId="77777777" w:rsidR="00732AF9" w:rsidRDefault="00732AF9" w:rsidP="00C938EC">
      <w:pPr>
        <w:rPr>
          <w:b/>
          <w:sz w:val="20"/>
          <w:szCs w:val="20"/>
        </w:rPr>
      </w:pPr>
    </w:p>
    <w:p w14:paraId="32B1BFE6" w14:textId="77777777" w:rsidR="007B2E11" w:rsidRDefault="007B2E11" w:rsidP="00C938EC">
      <w:pPr>
        <w:rPr>
          <w:b/>
          <w:sz w:val="20"/>
          <w:szCs w:val="20"/>
        </w:rPr>
      </w:pPr>
    </w:p>
    <w:p w14:paraId="220220B6" w14:textId="77777777" w:rsidR="00C938EC" w:rsidRDefault="00C938EC" w:rsidP="00C938EC">
      <w:pPr>
        <w:rPr>
          <w:b/>
          <w:sz w:val="20"/>
          <w:szCs w:val="20"/>
        </w:rPr>
      </w:pPr>
      <w:r w:rsidRPr="000942C5">
        <w:rPr>
          <w:b/>
          <w:sz w:val="20"/>
          <w:szCs w:val="20"/>
        </w:rPr>
        <w:t>Assessed by:</w:t>
      </w:r>
      <w:r>
        <w:rPr>
          <w:b/>
          <w:sz w:val="20"/>
          <w:szCs w:val="20"/>
        </w:rPr>
        <w:t xml:space="preserve"> </w:t>
      </w:r>
      <w:r w:rsidRPr="004974D8">
        <w:rPr>
          <w:sz w:val="20"/>
          <w:szCs w:val="20"/>
        </w:rPr>
        <w:t>_______________________</w:t>
      </w:r>
      <w:r w:rsidR="00215239">
        <w:rPr>
          <w:sz w:val="20"/>
          <w:szCs w:val="20"/>
        </w:rPr>
        <w:t>_______</w:t>
      </w:r>
      <w:r w:rsidRPr="000942C5">
        <w:rPr>
          <w:b/>
          <w:sz w:val="20"/>
          <w:szCs w:val="20"/>
        </w:rPr>
        <w:t xml:space="preserve"> </w:t>
      </w:r>
      <w:r>
        <w:rPr>
          <w:b/>
          <w:sz w:val="20"/>
          <w:szCs w:val="20"/>
        </w:rPr>
        <w:t>Date: ______________</w:t>
      </w:r>
      <w:r w:rsidR="00215239">
        <w:rPr>
          <w:b/>
          <w:sz w:val="20"/>
          <w:szCs w:val="20"/>
        </w:rPr>
        <w:t>____</w:t>
      </w:r>
    </w:p>
    <w:p w14:paraId="46AD983E" w14:textId="77777777" w:rsidR="00C938EC" w:rsidRPr="00451B62" w:rsidRDefault="00C938EC" w:rsidP="00C938EC">
      <w:pPr>
        <w:rPr>
          <w:b/>
          <w:sz w:val="20"/>
          <w:szCs w:val="20"/>
          <w:u w:val="single"/>
        </w:rPr>
      </w:pPr>
    </w:p>
    <w:p w14:paraId="0CB67039" w14:textId="77777777" w:rsidR="00C938EC" w:rsidRPr="008C557C" w:rsidRDefault="00C938EC" w:rsidP="00C938EC">
      <w:pPr>
        <w:rPr>
          <w:sz w:val="20"/>
          <w:szCs w:val="20"/>
        </w:rPr>
      </w:pPr>
      <w:r w:rsidRPr="008C557C">
        <w:rPr>
          <w:i/>
          <w:sz w:val="20"/>
          <w:szCs w:val="20"/>
        </w:rPr>
        <w:t>References: Wildfire Ac</w:t>
      </w:r>
      <w:r>
        <w:rPr>
          <w:i/>
          <w:sz w:val="20"/>
          <w:szCs w:val="20"/>
        </w:rPr>
        <w:t>t</w:t>
      </w:r>
      <w:r w:rsidRPr="008C557C">
        <w:rPr>
          <w:i/>
          <w:sz w:val="20"/>
          <w:szCs w:val="20"/>
        </w:rPr>
        <w:t>, Section 7</w:t>
      </w:r>
      <w:r>
        <w:rPr>
          <w:i/>
          <w:sz w:val="20"/>
          <w:szCs w:val="20"/>
        </w:rPr>
        <w:t xml:space="preserve">; </w:t>
      </w:r>
      <w:r w:rsidRPr="008C557C">
        <w:rPr>
          <w:i/>
          <w:sz w:val="20"/>
          <w:szCs w:val="20"/>
        </w:rPr>
        <w:t>Wildfire Regulation Section 11 &amp; 12</w:t>
      </w:r>
      <w:r w:rsidR="001C66BE">
        <w:rPr>
          <w:i/>
          <w:sz w:val="20"/>
          <w:szCs w:val="20"/>
        </w:rPr>
        <w:t>;</w:t>
      </w:r>
      <w:r>
        <w:rPr>
          <w:i/>
          <w:sz w:val="20"/>
          <w:szCs w:val="20"/>
        </w:rPr>
        <w:t xml:space="preserve"> Schedule 7 of the repealed Fire Prevention and Suppression Regulation under the Forest Practices Code</w:t>
      </w:r>
      <w:r w:rsidR="001C66BE">
        <w:rPr>
          <w:i/>
          <w:sz w:val="20"/>
          <w:szCs w:val="20"/>
        </w:rPr>
        <w:t xml:space="preserve"> of BC Act</w:t>
      </w:r>
    </w:p>
    <w:p w14:paraId="4DFBEB2F" w14:textId="3AC35533" w:rsidR="00C938EC" w:rsidRPr="008C557C" w:rsidRDefault="00C938EC" w:rsidP="00C938EC">
      <w:pPr>
        <w:numPr>
          <w:ilvl w:val="0"/>
          <w:numId w:val="7"/>
        </w:numPr>
        <w:spacing w:after="120" w:line="240" w:lineRule="auto"/>
        <w:rPr>
          <w:sz w:val="20"/>
          <w:szCs w:val="20"/>
        </w:rPr>
      </w:pPr>
      <w:r w:rsidRPr="008C557C">
        <w:rPr>
          <w:sz w:val="20"/>
          <w:szCs w:val="20"/>
        </w:rPr>
        <w:t>Attach</w:t>
      </w:r>
      <w:r>
        <w:rPr>
          <w:sz w:val="20"/>
          <w:szCs w:val="20"/>
        </w:rPr>
        <w:t xml:space="preserve"> a</w:t>
      </w:r>
      <w:r w:rsidRPr="008C557C">
        <w:rPr>
          <w:sz w:val="20"/>
          <w:szCs w:val="20"/>
        </w:rPr>
        <w:t xml:space="preserve"> map</w:t>
      </w:r>
      <w:r w:rsidR="001C66BE">
        <w:rPr>
          <w:sz w:val="20"/>
          <w:szCs w:val="20"/>
        </w:rPr>
        <w:t xml:space="preserve"> of the harvest area </w:t>
      </w:r>
      <w:r w:rsidRPr="008C557C">
        <w:rPr>
          <w:sz w:val="20"/>
          <w:szCs w:val="20"/>
        </w:rPr>
        <w:t xml:space="preserve">showing </w:t>
      </w:r>
      <w:r>
        <w:rPr>
          <w:sz w:val="20"/>
          <w:szCs w:val="20"/>
        </w:rPr>
        <w:t xml:space="preserve">or describing </w:t>
      </w:r>
      <w:r w:rsidRPr="008C557C">
        <w:rPr>
          <w:sz w:val="20"/>
          <w:szCs w:val="20"/>
        </w:rPr>
        <w:t xml:space="preserve">areas of </w:t>
      </w:r>
      <w:r>
        <w:rPr>
          <w:sz w:val="20"/>
          <w:szCs w:val="20"/>
        </w:rPr>
        <w:t xml:space="preserve">any </w:t>
      </w:r>
      <w:r w:rsidR="00F43B05">
        <w:rPr>
          <w:sz w:val="20"/>
          <w:szCs w:val="20"/>
        </w:rPr>
        <w:t>strata with different fuel hazard</w:t>
      </w:r>
      <w:r w:rsidR="00B94039">
        <w:rPr>
          <w:sz w:val="20"/>
          <w:szCs w:val="20"/>
        </w:rPr>
        <w:t xml:space="preserve"> rating</w:t>
      </w:r>
      <w:r w:rsidR="00F43B05">
        <w:rPr>
          <w:sz w:val="20"/>
          <w:szCs w:val="20"/>
        </w:rPr>
        <w:t xml:space="preserve">s, </w:t>
      </w:r>
      <w:r>
        <w:rPr>
          <w:sz w:val="20"/>
          <w:szCs w:val="20"/>
        </w:rPr>
        <w:t>planned abatement treatment</w:t>
      </w:r>
      <w:r w:rsidR="00B94039">
        <w:rPr>
          <w:sz w:val="20"/>
          <w:szCs w:val="20"/>
        </w:rPr>
        <w:t>s</w:t>
      </w:r>
      <w:r>
        <w:rPr>
          <w:sz w:val="20"/>
          <w:szCs w:val="20"/>
        </w:rPr>
        <w:t xml:space="preserve"> of </w:t>
      </w:r>
      <w:r w:rsidR="00B94039">
        <w:rPr>
          <w:sz w:val="20"/>
          <w:szCs w:val="20"/>
        </w:rPr>
        <w:t xml:space="preserve">the </w:t>
      </w:r>
      <w:r>
        <w:rPr>
          <w:sz w:val="20"/>
          <w:szCs w:val="20"/>
        </w:rPr>
        <w:t>dispersed slash</w:t>
      </w:r>
      <w:r w:rsidR="00C712F7">
        <w:rPr>
          <w:sz w:val="20"/>
          <w:szCs w:val="20"/>
        </w:rPr>
        <w:t xml:space="preserve"> or any </w:t>
      </w:r>
      <w:r w:rsidR="002E77C0">
        <w:rPr>
          <w:sz w:val="20"/>
          <w:szCs w:val="20"/>
        </w:rPr>
        <w:t xml:space="preserve">small </w:t>
      </w:r>
      <w:r w:rsidR="00C712F7">
        <w:rPr>
          <w:sz w:val="20"/>
          <w:szCs w:val="20"/>
        </w:rPr>
        <w:t>piled accumulations of woody debris that will be left for wildlife or not abated</w:t>
      </w:r>
      <w:r w:rsidRPr="008C557C">
        <w:rPr>
          <w:sz w:val="20"/>
          <w:szCs w:val="20"/>
        </w:rPr>
        <w:t>.</w:t>
      </w:r>
    </w:p>
    <w:p w14:paraId="547A57EB" w14:textId="77777777" w:rsidR="00C938EC" w:rsidRDefault="00C938EC">
      <w:pPr>
        <w:rPr>
          <w:b/>
        </w:rPr>
      </w:pPr>
      <w:r>
        <w:rPr>
          <w:b/>
        </w:rPr>
        <w:br w:type="page"/>
      </w:r>
    </w:p>
    <w:p w14:paraId="748BB726" w14:textId="77777777" w:rsidR="00C938EC" w:rsidRDefault="00C938EC" w:rsidP="00C938EC">
      <w:pPr>
        <w:spacing w:after="60"/>
        <w:rPr>
          <w:b/>
        </w:rPr>
      </w:pPr>
    </w:p>
    <w:p w14:paraId="2EFE1269" w14:textId="77777777" w:rsidR="00C938EC" w:rsidRPr="000D6F48" w:rsidRDefault="00C938EC" w:rsidP="00C938EC">
      <w:pPr>
        <w:spacing w:after="60"/>
      </w:pPr>
      <w:r w:rsidRPr="000D6F48">
        <w:rPr>
          <w:b/>
        </w:rPr>
        <w:t xml:space="preserve">Instructions: </w:t>
      </w:r>
    </w:p>
    <w:p w14:paraId="6415054F" w14:textId="3A62EAAF" w:rsidR="00C938EC" w:rsidRDefault="00C938EC" w:rsidP="00C938EC">
      <w:r w:rsidRPr="0022799E">
        <w:rPr>
          <w:b/>
        </w:rPr>
        <w:t>Stratification:</w:t>
      </w:r>
      <w:r>
        <w:t xml:space="preserve"> </w:t>
      </w:r>
      <w:r w:rsidR="009E3886">
        <w:t xml:space="preserve">On the harvested area, the dispersed slash away from any piles or accumulations at roadsides or landings should be walked to see if there are well defined areas with significantly greater fuel loading that should be assessed as separate strata.  </w:t>
      </w:r>
      <w:r w:rsidRPr="00E374E6">
        <w:t xml:space="preserve">If certain areas of </w:t>
      </w:r>
      <w:r w:rsidR="00215239" w:rsidRPr="00E374E6">
        <w:t xml:space="preserve">the </w:t>
      </w:r>
      <w:r w:rsidRPr="00E374E6">
        <w:t xml:space="preserve">dispersed slash </w:t>
      </w:r>
      <w:r w:rsidR="00215239" w:rsidRPr="00E374E6">
        <w:t xml:space="preserve">have a higher fuel loading which </w:t>
      </w:r>
      <w:r w:rsidRPr="00E374E6">
        <w:t>warrant different fire hazard abatement treatment</w:t>
      </w:r>
      <w:r w:rsidR="00C87745" w:rsidRPr="00E374E6">
        <w:t>s</w:t>
      </w:r>
      <w:r w:rsidRPr="00E374E6">
        <w:t xml:space="preserve"> </w:t>
      </w:r>
      <w:r w:rsidR="009E1A16" w:rsidRPr="00E374E6">
        <w:t xml:space="preserve">then </w:t>
      </w:r>
      <w:r w:rsidR="009E3886">
        <w:t xml:space="preserve">two </w:t>
      </w:r>
      <w:r w:rsidR="009E1A16" w:rsidRPr="00E374E6">
        <w:t xml:space="preserve">separate fire hazard assessments should be prepared for the areas </w:t>
      </w:r>
      <w:r w:rsidR="009E3886">
        <w:t xml:space="preserve">(strata) with </w:t>
      </w:r>
      <w:r w:rsidR="009E3886" w:rsidRPr="00E374E6">
        <w:t xml:space="preserve"> </w:t>
      </w:r>
      <w:r w:rsidR="009E1A16" w:rsidRPr="00E374E6">
        <w:t>high and low fuel hazard</w:t>
      </w:r>
      <w:r w:rsidR="00B94039">
        <w:t xml:space="preserve"> ratings</w:t>
      </w:r>
      <w:r w:rsidR="009E1A16" w:rsidRPr="00E374E6">
        <w:t>.  Th</w:t>
      </w:r>
      <w:r w:rsidR="009E1A16">
        <w:t xml:space="preserve">ese </w:t>
      </w:r>
      <w:r w:rsidR="00E374E6">
        <w:t xml:space="preserve">differing </w:t>
      </w:r>
      <w:r w:rsidR="009E1A16">
        <w:t xml:space="preserve">areas (strata) should be shown on the </w:t>
      </w:r>
      <w:r w:rsidR="00E374E6">
        <w:t xml:space="preserve">map </w:t>
      </w:r>
      <w:r w:rsidR="00A67CCE">
        <w:t xml:space="preserve">accompanying </w:t>
      </w:r>
      <w:r w:rsidR="00E374E6">
        <w:t>the fire hazard assessments</w:t>
      </w:r>
      <w:r w:rsidR="009E1A16">
        <w:t xml:space="preserve">.  If the fuel hazard </w:t>
      </w:r>
      <w:r w:rsidR="00B94039">
        <w:t xml:space="preserve">rating </w:t>
      </w:r>
      <w:r w:rsidR="009E1A16">
        <w:t xml:space="preserve">is generally uniform for the dispersed </w:t>
      </w:r>
      <w:r w:rsidR="00E374E6">
        <w:t>fuel</w:t>
      </w:r>
      <w:r w:rsidR="009E1A16">
        <w:t xml:space="preserve"> on the harvest area but</w:t>
      </w:r>
      <w:r w:rsidR="00C87745">
        <w:t xml:space="preserve"> </w:t>
      </w:r>
      <w:r>
        <w:t xml:space="preserve">adjacent values (i.e. a private residence or a main public road), </w:t>
      </w:r>
      <w:r w:rsidR="009E1A16">
        <w:t xml:space="preserve">require more rigorous abatement treatments on part of the harvest area </w:t>
      </w:r>
      <w:r>
        <w:t>the</w:t>
      </w:r>
      <w:r w:rsidR="009E1A16">
        <w:t xml:space="preserve">n one fire </w:t>
      </w:r>
      <w:r w:rsidR="00A67CCE">
        <w:t>hazard assessment</w:t>
      </w:r>
      <w:r>
        <w:t xml:space="preserve"> </w:t>
      </w:r>
      <w:r w:rsidR="009E1A16">
        <w:t>can</w:t>
      </w:r>
      <w:r>
        <w:t xml:space="preserve"> </w:t>
      </w:r>
      <w:r w:rsidR="009E1A16">
        <w:t xml:space="preserve">be completed </w:t>
      </w:r>
      <w:r w:rsidR="00C87745">
        <w:t>describ</w:t>
      </w:r>
      <w:r w:rsidR="009E1A16">
        <w:t>ing</w:t>
      </w:r>
      <w:r w:rsidR="00C87745">
        <w:t xml:space="preserve"> </w:t>
      </w:r>
      <w:r w:rsidR="009E3886">
        <w:t xml:space="preserve">the </w:t>
      </w:r>
      <w:r w:rsidR="00B94039">
        <w:t xml:space="preserve">overall </w:t>
      </w:r>
      <w:r w:rsidR="009E3886">
        <w:t xml:space="preserve">fuel hazard </w:t>
      </w:r>
      <w:r w:rsidR="00B94039">
        <w:t xml:space="preserve">rating </w:t>
      </w:r>
      <w:r w:rsidR="009E3886">
        <w:t xml:space="preserve">and </w:t>
      </w:r>
      <w:r w:rsidR="00C87745">
        <w:t xml:space="preserve">appropriate abatement treatments for </w:t>
      </w:r>
      <w:r w:rsidR="009E1A16">
        <w:t>the</w:t>
      </w:r>
      <w:r w:rsidR="00C87745">
        <w:t xml:space="preserve"> area</w:t>
      </w:r>
      <w:r w:rsidR="0022513E">
        <w:t>s</w:t>
      </w:r>
      <w:r w:rsidR="00C87745">
        <w:t xml:space="preserve"> </w:t>
      </w:r>
      <w:r w:rsidR="00331F89">
        <w:t>with</w:t>
      </w:r>
      <w:r w:rsidR="0022513E">
        <w:t xml:space="preserve"> and without </w:t>
      </w:r>
      <w:r w:rsidR="00E03409">
        <w:t xml:space="preserve">higher </w:t>
      </w:r>
      <w:r w:rsidR="00331F89">
        <w:t>adjacent values</w:t>
      </w:r>
      <w:r w:rsidR="0022513E">
        <w:t xml:space="preserve">. </w:t>
      </w:r>
      <w:r w:rsidR="00331F89">
        <w:t xml:space="preserve"> </w:t>
      </w:r>
      <w:r w:rsidR="0022513E">
        <w:t xml:space="preserve">The two areas </w:t>
      </w:r>
      <w:r w:rsidR="00E374E6">
        <w:t xml:space="preserve">with different fire hazard abatement treatments </w:t>
      </w:r>
      <w:r w:rsidR="0022513E">
        <w:t>should be shown on the map</w:t>
      </w:r>
      <w:r w:rsidR="004436CB">
        <w:t>.</w:t>
      </w:r>
      <w:r w:rsidR="00C87745" w:rsidRPr="00C87745">
        <w:t xml:space="preserve"> </w:t>
      </w:r>
    </w:p>
    <w:p w14:paraId="15798643" w14:textId="77777777" w:rsidR="00C938EC" w:rsidRPr="00BC04CC" w:rsidRDefault="00C938EC" w:rsidP="00C938EC">
      <w:r w:rsidRPr="00BC04CC">
        <w:rPr>
          <w:b/>
        </w:rPr>
        <w:t>Fuel Depth</w:t>
      </w:r>
      <w:r w:rsidRPr="00BC04CC">
        <w:t>: This is the average depth of woody fuels of all sizes over the area of dispersed slash. The greater the fuel depth the greater the potential for an intense fire that could be more difficult to control</w:t>
      </w:r>
      <w:r>
        <w:t xml:space="preserve"> and extinguish</w:t>
      </w:r>
      <w:r w:rsidRPr="00BC04CC">
        <w:t xml:space="preserve">. </w:t>
      </w:r>
    </w:p>
    <w:p w14:paraId="722074A8" w14:textId="77777777" w:rsidR="00C938EC" w:rsidRPr="00BC04CC" w:rsidRDefault="00C938EC" w:rsidP="00C938EC">
      <w:r w:rsidRPr="00BC04CC">
        <w:rPr>
          <w:b/>
        </w:rPr>
        <w:t xml:space="preserve">Fuel Size (% of all fuels that are &lt; 7.1 cm in diameter):  </w:t>
      </w:r>
      <w:r w:rsidRPr="00BC04CC">
        <w:t>Within the area of dispersed slash, estimate what percentage of the total fuel loading consists of fine fuels &lt; 7.1 cm in diameter.</w:t>
      </w:r>
      <w:r w:rsidRPr="00BC04CC">
        <w:rPr>
          <w:b/>
        </w:rPr>
        <w:t xml:space="preserve">  </w:t>
      </w:r>
      <w:r w:rsidRPr="00BC04CC">
        <w:t xml:space="preserve">These fine fuels are much more prone to rapid drying and are easily ignited, especially </w:t>
      </w:r>
      <w:r w:rsidR="00E03409">
        <w:t xml:space="preserve">during the first summer after harvest </w:t>
      </w:r>
      <w:r w:rsidRPr="00BC04CC">
        <w:t>when cured needles are still attached</w:t>
      </w:r>
      <w:r>
        <w:t xml:space="preserve"> to branches</w:t>
      </w:r>
      <w:r w:rsidRPr="00BC04CC">
        <w:t xml:space="preserve">.  </w:t>
      </w:r>
    </w:p>
    <w:p w14:paraId="62283356" w14:textId="6042FB30" w:rsidR="00C938EC" w:rsidRPr="00BC04CC" w:rsidRDefault="00C938EC" w:rsidP="00C938EC">
      <w:r w:rsidRPr="00B530D7">
        <w:rPr>
          <w:b/>
        </w:rPr>
        <w:t xml:space="preserve">Horizontal Fuel Arrangement (% of area): </w:t>
      </w:r>
      <w:r w:rsidRPr="00B530D7">
        <w:t>This is the % of the area of dispersed slash that is occupied by</w:t>
      </w:r>
      <w:r w:rsidRPr="00BC04CC">
        <w:t xml:space="preserve"> woody fuels of all sizes.  The more continuous the fuel loading on the area the greater the fuel hazard</w:t>
      </w:r>
      <w:r w:rsidR="00782551">
        <w:t>,</w:t>
      </w:r>
      <w:r w:rsidR="00E03409">
        <w:t xml:space="preserve"> rate of fire spread</w:t>
      </w:r>
      <w:r w:rsidR="00782551">
        <w:t>, potential fire intensity, risk of spotting, etc</w:t>
      </w:r>
      <w:r w:rsidRPr="00BC04CC">
        <w:t>.</w:t>
      </w:r>
    </w:p>
    <w:p w14:paraId="3B465012" w14:textId="37C7E8E3" w:rsidR="00C938EC" w:rsidRPr="00BC04CC" w:rsidRDefault="00C938EC" w:rsidP="00C938EC">
      <w:r w:rsidRPr="00BC04CC">
        <w:rPr>
          <w:b/>
        </w:rPr>
        <w:t xml:space="preserve">Vertical Fuel Arrangement of fine fuel &lt; 7.1 cm: </w:t>
      </w:r>
      <w:r w:rsidRPr="00BC04CC">
        <w:t>Fines fuels that are mixed with soil or directly on the ground will dry slowly and be less likely to ignite for as many days out of the fire season compared to fuels</w:t>
      </w:r>
      <w:r>
        <w:t xml:space="preserve"> that are</w:t>
      </w:r>
      <w:r w:rsidRPr="002C4125">
        <w:t xml:space="preserve"> </w:t>
      </w:r>
      <w:r w:rsidRPr="00BC04CC">
        <w:t>elevated</w:t>
      </w:r>
      <w:r>
        <w:t xml:space="preserve"> from the ground</w:t>
      </w:r>
      <w:r w:rsidRPr="00BC04CC">
        <w:t xml:space="preserve">. Elevated fine fuels can also increase </w:t>
      </w:r>
      <w:r w:rsidR="00782551">
        <w:t xml:space="preserve">flame length and </w:t>
      </w:r>
      <w:r w:rsidRPr="00BC04CC">
        <w:t xml:space="preserve">fire spread </w:t>
      </w:r>
      <w:r>
        <w:t>from</w:t>
      </w:r>
      <w:r w:rsidRPr="00BC04CC">
        <w:t xml:space="preserve"> wind carried embers</w:t>
      </w:r>
      <w:r>
        <w:t xml:space="preserve"> that will travel further</w:t>
      </w:r>
      <w:r w:rsidRPr="00BC04CC">
        <w:t xml:space="preserve">.  </w:t>
      </w:r>
      <w:r>
        <w:t>The presence of any ladder fuels, (</w:t>
      </w:r>
      <w:r w:rsidR="00782551">
        <w:t xml:space="preserve">fine </w:t>
      </w:r>
      <w:r>
        <w:t>fuels that allow a ground fire to become a crown fire), should be documented and taken into account if they are present in a partial cut area</w:t>
      </w:r>
      <w:r w:rsidR="00E03409">
        <w:t xml:space="preserve"> or adjacent to standing timber</w:t>
      </w:r>
      <w:r>
        <w:t>.</w:t>
      </w:r>
      <w:r w:rsidRPr="00BC04CC">
        <w:t xml:space="preserve"> </w:t>
      </w:r>
    </w:p>
    <w:p w14:paraId="137A969D" w14:textId="77777777" w:rsidR="00C938EC" w:rsidRPr="00BC04CC" w:rsidRDefault="00C938EC" w:rsidP="00C938EC">
      <w:r w:rsidRPr="00BC04CC">
        <w:rPr>
          <w:b/>
        </w:rPr>
        <w:t>Vegetation that contribute</w:t>
      </w:r>
      <w:r>
        <w:rPr>
          <w:b/>
        </w:rPr>
        <w:t>s</w:t>
      </w:r>
      <w:r w:rsidRPr="00BC04CC">
        <w:rPr>
          <w:b/>
        </w:rPr>
        <w:t xml:space="preserve"> to fuel load:</w:t>
      </w:r>
      <w:r w:rsidRPr="00BC04CC">
        <w:t xml:space="preserve"> Take into consideration dry grass and dead sticks from shrubs that will add to the fuel loading during the fire season </w:t>
      </w:r>
      <w:r>
        <w:t>or</w:t>
      </w:r>
      <w:r w:rsidRPr="00BC04CC">
        <w:t xml:space="preserve"> provide a lower score if </w:t>
      </w:r>
      <w:r>
        <w:t xml:space="preserve">an abundance of </w:t>
      </w:r>
      <w:r w:rsidRPr="00BC04CC">
        <w:t xml:space="preserve">succulent herbs, </w:t>
      </w:r>
      <w:r w:rsidR="004436CB">
        <w:t xml:space="preserve">ferns, </w:t>
      </w:r>
      <w:r w:rsidRPr="00BC04CC">
        <w:t xml:space="preserve">aspen suckers or similar </w:t>
      </w:r>
      <w:r w:rsidR="004436CB">
        <w:t xml:space="preserve">lush, </w:t>
      </w:r>
      <w:r w:rsidRPr="00BC04CC">
        <w:t>green vegetation will reduce the likelihood of ignition and fire spread</w:t>
      </w:r>
      <w:r>
        <w:t xml:space="preserve"> during the fire season</w:t>
      </w:r>
      <w:r w:rsidRPr="00BC04CC">
        <w:t>.</w:t>
      </w:r>
    </w:p>
    <w:p w14:paraId="60F0B0DE" w14:textId="7B68C2A1" w:rsidR="00C938EC" w:rsidRPr="00BC04CC" w:rsidRDefault="00C938EC" w:rsidP="00C938EC">
      <w:r w:rsidRPr="00BC04CC">
        <w:rPr>
          <w:b/>
        </w:rPr>
        <w:t>Cedar Slash Component</w:t>
      </w:r>
      <w:r w:rsidRPr="00BC04CC">
        <w:t>: Estimate the % of the total dispersed fuel loading that is western red cedar slash. Western red cedar has the lowest kindling (ignition) temperature of any wood in BC</w:t>
      </w:r>
      <w:r w:rsidR="00167021">
        <w:t>, decomposes slowly</w:t>
      </w:r>
      <w:r w:rsidR="00CC7BC1">
        <w:t xml:space="preserve"> and ignites very easily</w:t>
      </w:r>
      <w:r w:rsidRPr="00BC04CC">
        <w:t xml:space="preserve">. </w:t>
      </w:r>
    </w:p>
    <w:p w14:paraId="0CBE1875" w14:textId="238A0D85" w:rsidR="00C938EC" w:rsidRPr="00BC04CC" w:rsidRDefault="00C938EC" w:rsidP="00C938EC">
      <w:r w:rsidRPr="00BC04CC">
        <w:rPr>
          <w:b/>
        </w:rPr>
        <w:t>Basic Fuel Hazard Rating for Dispersed Slash</w:t>
      </w:r>
      <w:r w:rsidRPr="00BC04CC">
        <w:t xml:space="preserve">: If the basic fuel hazard rating is </w:t>
      </w:r>
      <w:r w:rsidR="00782551">
        <w:t xml:space="preserve">greater than </w:t>
      </w:r>
      <w:r w:rsidRPr="00BC04CC">
        <w:t xml:space="preserve">14 points the interpretation under the Forest Practices Code was that </w:t>
      </w:r>
      <w:r>
        <w:t xml:space="preserve">the dispersed </w:t>
      </w:r>
      <w:r w:rsidRPr="00BC04CC">
        <w:t>fuel require</w:t>
      </w:r>
      <w:r w:rsidR="00782551">
        <w:t>s</w:t>
      </w:r>
      <w:r w:rsidRPr="00BC04CC">
        <w:t xml:space="preserve"> abatement</w:t>
      </w:r>
      <w:r w:rsidR="00782551">
        <w:t xml:space="preserve"> treatments</w:t>
      </w:r>
      <w:r w:rsidRPr="00BC04CC">
        <w:t xml:space="preserve">.   </w:t>
      </w:r>
    </w:p>
    <w:p w14:paraId="73BCF1E1" w14:textId="77777777" w:rsidR="00452D4C" w:rsidRDefault="00C938EC" w:rsidP="00C938EC">
      <w:r w:rsidRPr="00BC04CC">
        <w:rPr>
          <w:b/>
        </w:rPr>
        <w:t>Risk of Human Ignition</w:t>
      </w:r>
      <w:r>
        <w:rPr>
          <w:b/>
        </w:rPr>
        <w:t xml:space="preserve"> &amp; Access</w:t>
      </w:r>
      <w:r w:rsidRPr="00BC04CC">
        <w:t xml:space="preserve">: The assessment of the risk of human ignition involves how far the site is from population centers, how frequently people would travel to the site and the access limitations that would discourage or prevent people from driving to </w:t>
      </w:r>
      <w:r>
        <w:t xml:space="preserve">where </w:t>
      </w:r>
      <w:r w:rsidRPr="00BC04CC">
        <w:t>the fuel hazards</w:t>
      </w:r>
      <w:r>
        <w:t xml:space="preserve"> are located</w:t>
      </w:r>
      <w:r w:rsidRPr="00BC04CC">
        <w:t xml:space="preserve">. </w:t>
      </w:r>
      <w:r w:rsidR="00E8020F">
        <w:t>“No access” would mean the road is gated on private land</w:t>
      </w:r>
      <w:r w:rsidR="00C46D82">
        <w:t xml:space="preserve"> to prevent access</w:t>
      </w:r>
      <w:r w:rsidR="00FB0C5B">
        <w:t xml:space="preserve"> to the harvest area or</w:t>
      </w:r>
      <w:r w:rsidR="00E8020F">
        <w:t xml:space="preserve"> </w:t>
      </w:r>
      <w:r w:rsidR="00C46D82">
        <w:t xml:space="preserve">the cutblock was logged with helicopter without road access. “Poor Access” would mean the </w:t>
      </w:r>
      <w:r w:rsidR="00FB0C5B">
        <w:t xml:space="preserve">harvest area is only accessible by ATV or difficult 4x4 truck access during the fire season. “Good </w:t>
      </w:r>
      <w:r w:rsidR="00452D4C">
        <w:t>A</w:t>
      </w:r>
      <w:r w:rsidR="00FB0C5B">
        <w:t>ccess</w:t>
      </w:r>
      <w:r w:rsidR="00452D4C">
        <w:t>”</w:t>
      </w:r>
      <w:r w:rsidR="00FB0C5B">
        <w:t xml:space="preserve"> would mean the harvest area is </w:t>
      </w:r>
      <w:r w:rsidR="00452D4C">
        <w:t xml:space="preserve">easily </w:t>
      </w:r>
      <w:r w:rsidR="00FB0C5B">
        <w:t>accesse</w:t>
      </w:r>
      <w:r w:rsidR="004436CB">
        <w:t>d</w:t>
      </w:r>
      <w:r w:rsidR="00FB0C5B">
        <w:t xml:space="preserve"> by </w:t>
      </w:r>
      <w:r w:rsidR="00452D4C">
        <w:t xml:space="preserve">a </w:t>
      </w:r>
      <w:r w:rsidR="00FB0C5B">
        <w:t xml:space="preserve">2 wheel </w:t>
      </w:r>
      <w:r w:rsidR="00452D4C">
        <w:t xml:space="preserve">or 4 wheel </w:t>
      </w:r>
      <w:r w:rsidR="00FB0C5B">
        <w:t xml:space="preserve">drive </w:t>
      </w:r>
      <w:r w:rsidR="00452D4C">
        <w:t xml:space="preserve">truck during the fire season. “Readily Accessible” means the harvest area is close to town and on a main public road that is frequently travelled.  </w:t>
      </w:r>
    </w:p>
    <w:p w14:paraId="3298397A" w14:textId="77777777" w:rsidR="00C938EC" w:rsidRDefault="00C938EC" w:rsidP="00C938EC">
      <w:r w:rsidRPr="00AD1EC2">
        <w:rPr>
          <w:b/>
        </w:rPr>
        <w:t>Average Slope</w:t>
      </w:r>
      <w:r>
        <w:t>: Given similar fuel loading, aspect and soil moisture regimes, steeper slopes will enhance fire spread in the direction upslope.</w:t>
      </w:r>
    </w:p>
    <w:p w14:paraId="14E1D72A" w14:textId="77777777" w:rsidR="00C938EC" w:rsidRDefault="00C938EC" w:rsidP="00C938EC">
      <w:r w:rsidRPr="00AD1EC2">
        <w:rPr>
          <w:b/>
        </w:rPr>
        <w:t>Predominant Aspect:</w:t>
      </w:r>
      <w:r>
        <w:t xml:space="preserve"> Sunny (southern) aspects promote increased drying of fuels</w:t>
      </w:r>
      <w:r w:rsidR="004436CB">
        <w:t xml:space="preserve">, easier ignition </w:t>
      </w:r>
      <w:r w:rsidR="00E03409">
        <w:t xml:space="preserve">and </w:t>
      </w:r>
      <w:r w:rsidR="004436CB">
        <w:t xml:space="preserve">faster </w:t>
      </w:r>
      <w:r w:rsidR="00E03409">
        <w:t xml:space="preserve">fire spread </w:t>
      </w:r>
      <w:r>
        <w:t>while north aspects should have a s</w:t>
      </w:r>
      <w:r w:rsidR="000E1E00">
        <w:t>l</w:t>
      </w:r>
      <w:r>
        <w:t>o</w:t>
      </w:r>
      <w:r w:rsidR="000E1E00">
        <w:t>w</w:t>
      </w:r>
      <w:r>
        <w:t>er</w:t>
      </w:r>
      <w:r w:rsidR="000E1E00">
        <w:t xml:space="preserve"> drying of fuels</w:t>
      </w:r>
      <w:r>
        <w:t xml:space="preserve"> due to delayed snowmelt </w:t>
      </w:r>
      <w:r w:rsidR="004436CB">
        <w:t>or</w:t>
      </w:r>
      <w:r>
        <w:t xml:space="preserve"> </w:t>
      </w:r>
      <w:r w:rsidR="000E1E00">
        <w:t xml:space="preserve">slightly </w:t>
      </w:r>
      <w:r>
        <w:t>cooler temperatures.</w:t>
      </w:r>
    </w:p>
    <w:p w14:paraId="37081191" w14:textId="50C59975" w:rsidR="00C938EC" w:rsidRDefault="00C938EC" w:rsidP="00C938EC">
      <w:r w:rsidRPr="00EA1C04">
        <w:rPr>
          <w:b/>
        </w:rPr>
        <w:lastRenderedPageBreak/>
        <w:t>Special Factors &amp; Nearby Values:</w:t>
      </w:r>
      <w:r>
        <w:t xml:space="preserve">  The assessor needs to consider</w:t>
      </w:r>
      <w:r w:rsidR="00782551">
        <w:t>,</w:t>
      </w:r>
      <w:r>
        <w:t xml:space="preserve"> document </w:t>
      </w:r>
      <w:r w:rsidR="00782551">
        <w:t xml:space="preserve">and account for </w:t>
      </w:r>
      <w:r>
        <w:t xml:space="preserve">any additional factors and nearby values at risk </w:t>
      </w:r>
      <w:r w:rsidR="00B25272">
        <w:t xml:space="preserve">(i.e. within 2 kilometers), </w:t>
      </w:r>
      <w:r>
        <w:t xml:space="preserve">that decrease or increase the fire hazard on the area. This information </w:t>
      </w:r>
      <w:r w:rsidR="00CC7BC1">
        <w:t>should</w:t>
      </w:r>
      <w:r>
        <w:t xml:space="preserve"> be included as comments</w:t>
      </w:r>
      <w:r w:rsidRPr="00CC7BC1">
        <w:t>.</w:t>
      </w:r>
      <w:r w:rsidR="00942485">
        <w:t xml:space="preserve">  </w:t>
      </w:r>
    </w:p>
    <w:p w14:paraId="6342E24D" w14:textId="7C9A884D" w:rsidR="005633CB" w:rsidRDefault="008C2455" w:rsidP="00C938EC">
      <w:pPr>
        <w:rPr>
          <w:rFonts w:cs="Arial"/>
        </w:rPr>
      </w:pPr>
      <w:r>
        <w:t xml:space="preserve">The awarding of negative or positive points for biogeoclimatic </w:t>
      </w:r>
      <w:r w:rsidR="0004419E">
        <w:t>(</w:t>
      </w:r>
      <w:r w:rsidRPr="00CE7F28">
        <w:rPr>
          <w:rFonts w:cs="Arial"/>
        </w:rPr>
        <w:t>BGC</w:t>
      </w:r>
      <w:r w:rsidR="0004419E">
        <w:rPr>
          <w:rFonts w:cs="Arial"/>
        </w:rPr>
        <w:t>)</w:t>
      </w:r>
      <w:r w:rsidRPr="00CE7F28">
        <w:rPr>
          <w:rFonts w:cs="Arial"/>
        </w:rPr>
        <w:t xml:space="preserve"> </w:t>
      </w:r>
      <w:r>
        <w:rPr>
          <w:rFonts w:cs="Arial"/>
        </w:rPr>
        <w:t>sub</w:t>
      </w:r>
      <w:r w:rsidRPr="00CE7F28">
        <w:rPr>
          <w:rFonts w:cs="Arial"/>
        </w:rPr>
        <w:t>zone and site series</w:t>
      </w:r>
      <w:r>
        <w:t xml:space="preserve"> is best done by a forest professional unless a licensee who is not a forest professional receives effective training.  </w:t>
      </w:r>
      <w:r w:rsidR="00C52D81">
        <w:t xml:space="preserve">When considering the biogeoclimatic </w:t>
      </w:r>
      <w:r>
        <w:rPr>
          <w:rFonts w:cs="Arial"/>
        </w:rPr>
        <w:t>sub</w:t>
      </w:r>
      <w:r w:rsidR="00C52D81" w:rsidRPr="005E1D2E">
        <w:rPr>
          <w:rFonts w:cs="Arial"/>
        </w:rPr>
        <w:t>zone and site series</w:t>
      </w:r>
      <w:r w:rsidR="00C52D81">
        <w:rPr>
          <w:rFonts w:cs="Arial"/>
        </w:rPr>
        <w:t>, the assess</w:t>
      </w:r>
      <w:r w:rsidR="00344923">
        <w:rPr>
          <w:rFonts w:cs="Arial"/>
        </w:rPr>
        <w:t>or</w:t>
      </w:r>
      <w:r w:rsidR="00C52D81">
        <w:rPr>
          <w:rFonts w:cs="Arial"/>
        </w:rPr>
        <w:t xml:space="preserve"> could provide </w:t>
      </w:r>
      <w:r w:rsidR="00EA1385">
        <w:rPr>
          <w:rFonts w:cs="Arial"/>
        </w:rPr>
        <w:t xml:space="preserve">1 or 2 </w:t>
      </w:r>
      <w:r w:rsidR="00C52D81">
        <w:rPr>
          <w:rFonts w:cs="Arial"/>
        </w:rPr>
        <w:t xml:space="preserve">negative points if the </w:t>
      </w:r>
      <w:r w:rsidR="005633CB">
        <w:rPr>
          <w:rFonts w:cs="Arial"/>
        </w:rPr>
        <w:t xml:space="preserve">harvest area </w:t>
      </w:r>
      <w:r w:rsidR="00C52D81">
        <w:rPr>
          <w:rFonts w:cs="Arial"/>
        </w:rPr>
        <w:t>was</w:t>
      </w:r>
      <w:r w:rsidR="0004419E">
        <w:rPr>
          <w:rFonts w:cs="Arial"/>
        </w:rPr>
        <w:t>, for example,</w:t>
      </w:r>
      <w:r w:rsidR="00EA1385">
        <w:rPr>
          <w:rFonts w:cs="Arial"/>
        </w:rPr>
        <w:t xml:space="preserve"> </w:t>
      </w:r>
      <w:r w:rsidR="00344923">
        <w:rPr>
          <w:rFonts w:cs="Arial"/>
        </w:rPr>
        <w:t>a horsetail site series in the SBSw/</w:t>
      </w:r>
      <w:r w:rsidR="005A4A12">
        <w:rPr>
          <w:rFonts w:cs="Arial"/>
        </w:rPr>
        <w:t>k</w:t>
      </w:r>
      <w:r w:rsidR="00344923">
        <w:rPr>
          <w:rFonts w:cs="Arial"/>
        </w:rPr>
        <w:t xml:space="preserve"> subzone (SBS = </w:t>
      </w:r>
      <w:r w:rsidR="006A4081">
        <w:rPr>
          <w:rFonts w:cs="Arial"/>
        </w:rPr>
        <w:t>Sub Boreal</w:t>
      </w:r>
      <w:r w:rsidR="00344923">
        <w:rPr>
          <w:rFonts w:cs="Arial"/>
        </w:rPr>
        <w:t xml:space="preserve"> Spruce w = wet / </w:t>
      </w:r>
      <w:r w:rsidR="005A4A12">
        <w:rPr>
          <w:rFonts w:cs="Arial"/>
        </w:rPr>
        <w:t>k</w:t>
      </w:r>
      <w:r w:rsidR="00344923">
        <w:rPr>
          <w:rFonts w:cs="Arial"/>
        </w:rPr>
        <w:t xml:space="preserve"> = cool)</w:t>
      </w:r>
      <w:r w:rsidR="005633CB">
        <w:rPr>
          <w:rFonts w:cs="Arial"/>
        </w:rPr>
        <w:t>,</w:t>
      </w:r>
      <w:r w:rsidR="00344923">
        <w:rPr>
          <w:rFonts w:cs="Arial"/>
        </w:rPr>
        <w:t xml:space="preserve"> </w:t>
      </w:r>
      <w:r w:rsidR="00EA1385">
        <w:rPr>
          <w:rFonts w:cs="Arial"/>
        </w:rPr>
        <w:t>o</w:t>
      </w:r>
      <w:r w:rsidR="00344923">
        <w:rPr>
          <w:rFonts w:cs="Arial"/>
        </w:rPr>
        <w:t>n depression</w:t>
      </w:r>
      <w:r w:rsidR="00D27250">
        <w:rPr>
          <w:rFonts w:cs="Arial"/>
        </w:rPr>
        <w:t xml:space="preserve">al </w:t>
      </w:r>
      <w:r w:rsidR="00EA1385">
        <w:rPr>
          <w:rFonts w:cs="Arial"/>
        </w:rPr>
        <w:t>slope positions</w:t>
      </w:r>
      <w:r w:rsidR="00344923">
        <w:rPr>
          <w:rFonts w:cs="Arial"/>
        </w:rPr>
        <w:t xml:space="preserve"> with pockets of surface water </w:t>
      </w:r>
      <w:r w:rsidR="00D27250">
        <w:rPr>
          <w:rFonts w:cs="Arial"/>
        </w:rPr>
        <w:t xml:space="preserve">or saturated soils </w:t>
      </w:r>
      <w:r w:rsidR="00344923">
        <w:rPr>
          <w:rFonts w:cs="Arial"/>
        </w:rPr>
        <w:t xml:space="preserve">during </w:t>
      </w:r>
      <w:r w:rsidR="00B25272">
        <w:rPr>
          <w:rFonts w:cs="Arial"/>
        </w:rPr>
        <w:t xml:space="preserve">most of </w:t>
      </w:r>
      <w:r w:rsidR="00344923">
        <w:rPr>
          <w:rFonts w:cs="Arial"/>
        </w:rPr>
        <w:t xml:space="preserve">the fire season.  </w:t>
      </w:r>
      <w:r w:rsidR="005633CB">
        <w:rPr>
          <w:rFonts w:cs="Arial"/>
        </w:rPr>
        <w:t>In contrast a juniper bluebunch wheatgrass site series in the IDFx/w</w:t>
      </w:r>
      <w:r w:rsidR="00CA3F31">
        <w:rPr>
          <w:rFonts w:cs="Arial"/>
        </w:rPr>
        <w:t xml:space="preserve"> 02</w:t>
      </w:r>
      <w:r w:rsidR="005633CB">
        <w:rPr>
          <w:rFonts w:cs="Arial"/>
        </w:rPr>
        <w:t xml:space="preserve"> (x = very dry / w = warm) where ponderosa pine is often present could be awarded </w:t>
      </w:r>
      <w:r w:rsidR="0089158B">
        <w:rPr>
          <w:rFonts w:cs="Arial"/>
        </w:rPr>
        <w:t xml:space="preserve">2 to 4 extra points for being very dry.  Unfortunately, the awarding of points for biogeoclimatic subzone and site series is subjective, but that doesn’t mean that a forest professional couldn’t help a non-professional woodlot licensee determine a point rating when they are completing the ecological classification of the harvest area in accordance with the requirements </w:t>
      </w:r>
      <w:r w:rsidR="005414D9">
        <w:rPr>
          <w:rFonts w:cs="Arial"/>
        </w:rPr>
        <w:t>to prepare a pre-harvest map under</w:t>
      </w:r>
      <w:r w:rsidR="0089158B">
        <w:rPr>
          <w:rFonts w:cs="Arial"/>
        </w:rPr>
        <w:t xml:space="preserve"> section 33</w:t>
      </w:r>
      <w:r w:rsidR="007231C0">
        <w:rPr>
          <w:rFonts w:cs="Arial"/>
        </w:rPr>
        <w:t xml:space="preserve">(2) of the Woodlot Licence Planning and Practices Regulation. </w:t>
      </w:r>
    </w:p>
    <w:p w14:paraId="18A8B7CD" w14:textId="77777777" w:rsidR="0089158B" w:rsidRDefault="00344923" w:rsidP="00C938EC">
      <w:pPr>
        <w:rPr>
          <w:rFonts w:cs="Arial"/>
        </w:rPr>
      </w:pPr>
      <w:r>
        <w:rPr>
          <w:rFonts w:cs="Arial"/>
        </w:rPr>
        <w:t xml:space="preserve">The </w:t>
      </w:r>
      <w:r>
        <w:t xml:space="preserve">biogeoclimatic </w:t>
      </w:r>
      <w:r w:rsidRPr="00CE7F28">
        <w:rPr>
          <w:rFonts w:cs="Arial"/>
        </w:rPr>
        <w:t xml:space="preserve">BGC </w:t>
      </w:r>
      <w:r>
        <w:rPr>
          <w:rFonts w:cs="Arial"/>
        </w:rPr>
        <w:t>classification system uses two modifiers after the subzone code</w:t>
      </w:r>
      <w:r w:rsidR="00D27250">
        <w:rPr>
          <w:rFonts w:cs="Arial"/>
        </w:rPr>
        <w:t xml:space="preserve"> to describe the relative precipitation and temperature regimes of that subzone compared to other subzones in that biogeoclimatic zone.  The following codes are used: </w:t>
      </w:r>
      <w:r w:rsidR="00D27250">
        <w:rPr>
          <w:rFonts w:cs="Arial"/>
        </w:rPr>
        <w:tab/>
      </w:r>
      <w:r w:rsidR="00D27250">
        <w:rPr>
          <w:rFonts w:cs="Arial"/>
        </w:rPr>
        <w:tab/>
      </w:r>
    </w:p>
    <w:p w14:paraId="3468496D" w14:textId="1B9FF50A" w:rsidR="00D27250" w:rsidRDefault="00D27250" w:rsidP="00595AA4">
      <w:pPr>
        <w:ind w:left="720" w:firstLine="720"/>
        <w:rPr>
          <w:rFonts w:cs="Arial"/>
          <w:b/>
          <w:u w:val="single"/>
        </w:rPr>
      </w:pPr>
      <w:r w:rsidRPr="00595AA4">
        <w:rPr>
          <w:rFonts w:cs="Arial"/>
          <w:b/>
          <w:u w:val="single"/>
        </w:rPr>
        <w:t>Relative Precipitation</w:t>
      </w:r>
      <w:r>
        <w:rPr>
          <w:rFonts w:cs="Arial"/>
        </w:rPr>
        <w:tab/>
      </w:r>
      <w:r>
        <w:rPr>
          <w:rFonts w:cs="Arial"/>
        </w:rPr>
        <w:tab/>
      </w:r>
      <w:r>
        <w:rPr>
          <w:rFonts w:cs="Arial"/>
        </w:rPr>
        <w:tab/>
      </w:r>
      <w:r w:rsidRPr="00595AA4">
        <w:rPr>
          <w:rFonts w:cs="Arial"/>
          <w:b/>
          <w:u w:val="single"/>
        </w:rPr>
        <w:t>Relative Temperature or Continenatality</w:t>
      </w:r>
    </w:p>
    <w:p w14:paraId="414586AE" w14:textId="7B1F9C1C" w:rsidR="00D27250" w:rsidRDefault="00D27250" w:rsidP="00C938EC">
      <w:pPr>
        <w:rPr>
          <w:rFonts w:cs="Arial"/>
          <w:b/>
          <w:u w:val="single"/>
        </w:rPr>
      </w:pPr>
      <w:r>
        <w:rPr>
          <w:rFonts w:cs="Arial"/>
          <w:b/>
          <w:u w:val="single"/>
        </w:rPr>
        <w:tab/>
      </w:r>
      <w:r>
        <w:rPr>
          <w:rFonts w:cs="Arial"/>
          <w:b/>
          <w:u w:val="single"/>
        </w:rPr>
        <w:tab/>
        <w:t>Description</w:t>
      </w:r>
      <w:r>
        <w:rPr>
          <w:rFonts w:cs="Arial"/>
          <w:b/>
          <w:u w:val="single"/>
        </w:rPr>
        <w:tab/>
        <w:t>Code</w:t>
      </w:r>
      <w:r>
        <w:rPr>
          <w:rFonts w:cs="Arial"/>
          <w:b/>
          <w:u w:val="single"/>
        </w:rPr>
        <w:tab/>
      </w:r>
      <w:r>
        <w:rPr>
          <w:rFonts w:cs="Arial"/>
          <w:b/>
          <w:u w:val="single"/>
        </w:rPr>
        <w:tab/>
      </w:r>
      <w:r>
        <w:rPr>
          <w:rFonts w:cs="Arial"/>
          <w:b/>
          <w:u w:val="single"/>
        </w:rPr>
        <w:tab/>
        <w:t xml:space="preserve">Description </w:t>
      </w:r>
      <w:r>
        <w:rPr>
          <w:rFonts w:cs="Arial"/>
          <w:b/>
          <w:u w:val="single"/>
        </w:rPr>
        <w:tab/>
      </w:r>
      <w:r>
        <w:rPr>
          <w:rFonts w:cs="Arial"/>
          <w:b/>
          <w:u w:val="single"/>
        </w:rPr>
        <w:tab/>
        <w:t>Code</w:t>
      </w:r>
    </w:p>
    <w:p w14:paraId="06B4D8AF" w14:textId="146C148C" w:rsidR="00D27250" w:rsidRDefault="00EA1385" w:rsidP="00595AA4">
      <w:pPr>
        <w:ind w:left="720" w:firstLine="720"/>
        <w:rPr>
          <w:rFonts w:cs="Arial"/>
          <w:b/>
          <w:u w:val="single"/>
        </w:rPr>
      </w:pPr>
      <w:r>
        <w:rPr>
          <w:rFonts w:cs="Arial"/>
          <w:b/>
          <w:u w:val="single"/>
        </w:rPr>
        <w:t>v</w:t>
      </w:r>
      <w:r w:rsidR="00D27250">
        <w:rPr>
          <w:rFonts w:cs="Arial"/>
          <w:b/>
          <w:u w:val="single"/>
        </w:rPr>
        <w:t>ery dry</w:t>
      </w:r>
      <w:r w:rsidR="00D27250">
        <w:rPr>
          <w:rFonts w:cs="Arial"/>
          <w:b/>
          <w:u w:val="single"/>
        </w:rPr>
        <w:tab/>
        <w:t xml:space="preserve">  x</w:t>
      </w:r>
      <w:r w:rsidR="00D27250">
        <w:rPr>
          <w:rFonts w:cs="Arial"/>
          <w:b/>
          <w:u w:val="single"/>
        </w:rPr>
        <w:tab/>
      </w:r>
      <w:r w:rsidR="00D27250">
        <w:rPr>
          <w:rFonts w:cs="Arial"/>
          <w:b/>
          <w:u w:val="single"/>
        </w:rPr>
        <w:tab/>
      </w:r>
      <w:r w:rsidR="00D27250">
        <w:rPr>
          <w:rFonts w:cs="Arial"/>
          <w:b/>
          <w:u w:val="single"/>
        </w:rPr>
        <w:tab/>
        <w:t>hot</w:t>
      </w:r>
      <w:r w:rsidR="00D27250">
        <w:rPr>
          <w:rFonts w:cs="Arial"/>
          <w:b/>
          <w:u w:val="single"/>
        </w:rPr>
        <w:tab/>
      </w:r>
      <w:r w:rsidR="00D27250">
        <w:rPr>
          <w:rFonts w:cs="Arial"/>
          <w:b/>
          <w:u w:val="single"/>
        </w:rPr>
        <w:tab/>
      </w:r>
      <w:r w:rsidR="00D27250">
        <w:rPr>
          <w:rFonts w:cs="Arial"/>
          <w:b/>
          <w:u w:val="single"/>
        </w:rPr>
        <w:tab/>
        <w:t xml:space="preserve">  h</w:t>
      </w:r>
    </w:p>
    <w:p w14:paraId="022F2DF6" w14:textId="3878A002" w:rsidR="00D27250" w:rsidRDefault="00EA1385" w:rsidP="00595AA4">
      <w:pPr>
        <w:ind w:left="720" w:firstLine="720"/>
        <w:rPr>
          <w:rFonts w:cs="Arial"/>
          <w:b/>
          <w:u w:val="single"/>
        </w:rPr>
      </w:pPr>
      <w:r>
        <w:rPr>
          <w:rFonts w:cs="Arial"/>
          <w:b/>
          <w:u w:val="single"/>
        </w:rPr>
        <w:t>d</w:t>
      </w:r>
      <w:r w:rsidR="005A4A12">
        <w:rPr>
          <w:rFonts w:cs="Arial"/>
          <w:b/>
          <w:u w:val="single"/>
        </w:rPr>
        <w:t>ry</w:t>
      </w:r>
      <w:r w:rsidR="005A4A12">
        <w:rPr>
          <w:rFonts w:cs="Arial"/>
          <w:b/>
          <w:u w:val="single"/>
        </w:rPr>
        <w:tab/>
      </w:r>
      <w:r w:rsidR="005A4A12">
        <w:rPr>
          <w:rFonts w:cs="Arial"/>
          <w:b/>
          <w:u w:val="single"/>
        </w:rPr>
        <w:tab/>
        <w:t xml:space="preserve">  d</w:t>
      </w:r>
      <w:r w:rsidR="005A4A12">
        <w:rPr>
          <w:rFonts w:cs="Arial"/>
          <w:b/>
          <w:u w:val="single"/>
        </w:rPr>
        <w:tab/>
      </w:r>
      <w:r w:rsidR="005A4A12">
        <w:rPr>
          <w:rFonts w:cs="Arial"/>
          <w:b/>
          <w:u w:val="single"/>
        </w:rPr>
        <w:tab/>
      </w:r>
      <w:r w:rsidR="005A4A12">
        <w:rPr>
          <w:rFonts w:cs="Arial"/>
          <w:b/>
          <w:u w:val="single"/>
        </w:rPr>
        <w:tab/>
        <w:t>warm</w:t>
      </w:r>
      <w:r w:rsidR="005A4A12">
        <w:rPr>
          <w:rFonts w:cs="Arial"/>
          <w:b/>
          <w:u w:val="single"/>
        </w:rPr>
        <w:tab/>
      </w:r>
      <w:r w:rsidR="005A4A12">
        <w:rPr>
          <w:rFonts w:cs="Arial"/>
          <w:b/>
          <w:u w:val="single"/>
        </w:rPr>
        <w:tab/>
      </w:r>
      <w:r w:rsidR="005A4A12">
        <w:rPr>
          <w:rFonts w:cs="Arial"/>
          <w:b/>
          <w:u w:val="single"/>
        </w:rPr>
        <w:tab/>
        <w:t xml:space="preserve">  w</w:t>
      </w:r>
    </w:p>
    <w:p w14:paraId="5CAAFA42" w14:textId="237207BE" w:rsidR="005A4A12" w:rsidRDefault="00EA1385" w:rsidP="00595AA4">
      <w:pPr>
        <w:ind w:left="720" w:firstLine="720"/>
        <w:rPr>
          <w:rFonts w:cs="Arial"/>
          <w:b/>
          <w:u w:val="single"/>
        </w:rPr>
      </w:pPr>
      <w:r>
        <w:rPr>
          <w:rFonts w:cs="Arial"/>
          <w:b/>
          <w:u w:val="single"/>
        </w:rPr>
        <w:t>m</w:t>
      </w:r>
      <w:r w:rsidR="005A4A12">
        <w:rPr>
          <w:rFonts w:cs="Arial"/>
          <w:b/>
          <w:u w:val="single"/>
        </w:rPr>
        <w:t>oist</w:t>
      </w:r>
      <w:r w:rsidR="005A4A12">
        <w:rPr>
          <w:rFonts w:cs="Arial"/>
          <w:b/>
          <w:u w:val="single"/>
        </w:rPr>
        <w:tab/>
      </w:r>
      <w:r w:rsidR="005A4A12">
        <w:rPr>
          <w:rFonts w:cs="Arial"/>
          <w:b/>
          <w:u w:val="single"/>
        </w:rPr>
        <w:tab/>
        <w:t xml:space="preserve">  m</w:t>
      </w:r>
      <w:r w:rsidR="005A4A12">
        <w:rPr>
          <w:rFonts w:cs="Arial"/>
          <w:b/>
          <w:u w:val="single"/>
        </w:rPr>
        <w:tab/>
      </w:r>
      <w:r w:rsidR="005A4A12">
        <w:rPr>
          <w:rFonts w:cs="Arial"/>
          <w:b/>
          <w:u w:val="single"/>
        </w:rPr>
        <w:tab/>
      </w:r>
      <w:r w:rsidR="005A4A12">
        <w:rPr>
          <w:rFonts w:cs="Arial"/>
          <w:b/>
          <w:u w:val="single"/>
        </w:rPr>
        <w:tab/>
        <w:t>mild</w:t>
      </w:r>
      <w:r w:rsidR="005A4A12">
        <w:rPr>
          <w:rFonts w:cs="Arial"/>
          <w:b/>
          <w:u w:val="single"/>
        </w:rPr>
        <w:tab/>
      </w:r>
      <w:r w:rsidR="005A4A12">
        <w:rPr>
          <w:rFonts w:cs="Arial"/>
          <w:b/>
          <w:u w:val="single"/>
        </w:rPr>
        <w:tab/>
      </w:r>
      <w:r w:rsidR="005A4A12">
        <w:rPr>
          <w:rFonts w:cs="Arial"/>
          <w:b/>
          <w:u w:val="single"/>
        </w:rPr>
        <w:tab/>
        <w:t xml:space="preserve">  m</w:t>
      </w:r>
    </w:p>
    <w:p w14:paraId="0628C3B9" w14:textId="564BED43" w:rsidR="005A4A12" w:rsidRDefault="00EA1385" w:rsidP="00595AA4">
      <w:pPr>
        <w:ind w:left="720" w:firstLine="720"/>
        <w:rPr>
          <w:rFonts w:cs="Arial"/>
          <w:b/>
          <w:u w:val="single"/>
        </w:rPr>
      </w:pPr>
      <w:r>
        <w:rPr>
          <w:rFonts w:cs="Arial"/>
          <w:b/>
          <w:u w:val="single"/>
        </w:rPr>
        <w:t>w</w:t>
      </w:r>
      <w:r w:rsidR="005A4A12">
        <w:rPr>
          <w:rFonts w:cs="Arial"/>
          <w:b/>
          <w:u w:val="single"/>
        </w:rPr>
        <w:t>et</w:t>
      </w:r>
      <w:r w:rsidR="005A4A12">
        <w:rPr>
          <w:rFonts w:cs="Arial"/>
          <w:b/>
          <w:u w:val="single"/>
        </w:rPr>
        <w:tab/>
      </w:r>
      <w:r w:rsidR="005A4A12">
        <w:rPr>
          <w:rFonts w:cs="Arial"/>
          <w:b/>
          <w:u w:val="single"/>
        </w:rPr>
        <w:tab/>
        <w:t xml:space="preserve">  w</w:t>
      </w:r>
      <w:r w:rsidR="005A4A12">
        <w:rPr>
          <w:rFonts w:cs="Arial"/>
          <w:b/>
          <w:u w:val="single"/>
        </w:rPr>
        <w:tab/>
      </w:r>
      <w:r w:rsidR="005A4A12">
        <w:rPr>
          <w:rFonts w:cs="Arial"/>
          <w:b/>
          <w:u w:val="single"/>
        </w:rPr>
        <w:tab/>
      </w:r>
      <w:r w:rsidR="005A4A12">
        <w:rPr>
          <w:rFonts w:cs="Arial"/>
          <w:b/>
          <w:u w:val="single"/>
        </w:rPr>
        <w:tab/>
        <w:t>cool</w:t>
      </w:r>
      <w:r w:rsidR="005A4A12">
        <w:rPr>
          <w:rFonts w:cs="Arial"/>
          <w:b/>
          <w:u w:val="single"/>
        </w:rPr>
        <w:tab/>
      </w:r>
      <w:r w:rsidR="005A4A12">
        <w:rPr>
          <w:rFonts w:cs="Arial"/>
          <w:b/>
          <w:u w:val="single"/>
        </w:rPr>
        <w:tab/>
      </w:r>
      <w:r w:rsidR="005A4A12">
        <w:rPr>
          <w:rFonts w:cs="Arial"/>
          <w:b/>
          <w:u w:val="single"/>
        </w:rPr>
        <w:tab/>
        <w:t xml:space="preserve">  k</w:t>
      </w:r>
    </w:p>
    <w:p w14:paraId="34E36A63" w14:textId="79FB0914" w:rsidR="005A4A12" w:rsidRDefault="00EA1385" w:rsidP="00595AA4">
      <w:pPr>
        <w:ind w:left="720" w:firstLine="720"/>
        <w:rPr>
          <w:rFonts w:cs="Arial"/>
          <w:b/>
          <w:u w:val="single"/>
        </w:rPr>
      </w:pPr>
      <w:r>
        <w:rPr>
          <w:rFonts w:cs="Arial"/>
          <w:b/>
          <w:u w:val="single"/>
        </w:rPr>
        <w:t>v</w:t>
      </w:r>
      <w:r w:rsidR="005A4A12">
        <w:rPr>
          <w:rFonts w:cs="Arial"/>
          <w:b/>
          <w:u w:val="single"/>
        </w:rPr>
        <w:t>ery wet</w:t>
      </w:r>
      <w:r w:rsidR="005A4A12">
        <w:rPr>
          <w:rFonts w:cs="Arial"/>
          <w:b/>
          <w:u w:val="single"/>
        </w:rPr>
        <w:tab/>
        <w:t xml:space="preserve">  v</w:t>
      </w:r>
      <w:r w:rsidR="005A4A12">
        <w:rPr>
          <w:rFonts w:cs="Arial"/>
          <w:b/>
          <w:u w:val="single"/>
        </w:rPr>
        <w:tab/>
      </w:r>
      <w:r w:rsidR="005A4A12">
        <w:rPr>
          <w:rFonts w:cs="Arial"/>
          <w:b/>
          <w:u w:val="single"/>
        </w:rPr>
        <w:tab/>
      </w:r>
      <w:r w:rsidR="005A4A12">
        <w:rPr>
          <w:rFonts w:cs="Arial"/>
          <w:b/>
          <w:u w:val="single"/>
        </w:rPr>
        <w:tab/>
        <w:t>cold</w:t>
      </w:r>
      <w:r w:rsidR="005A4A12">
        <w:rPr>
          <w:rFonts w:cs="Arial"/>
          <w:b/>
          <w:u w:val="single"/>
        </w:rPr>
        <w:tab/>
      </w:r>
      <w:r w:rsidR="005A4A12">
        <w:rPr>
          <w:rFonts w:cs="Arial"/>
          <w:b/>
          <w:u w:val="single"/>
        </w:rPr>
        <w:tab/>
      </w:r>
      <w:r w:rsidR="005A4A12">
        <w:rPr>
          <w:rFonts w:cs="Arial"/>
          <w:b/>
          <w:u w:val="single"/>
        </w:rPr>
        <w:tab/>
        <w:t xml:space="preserve">  c</w:t>
      </w:r>
    </w:p>
    <w:p w14:paraId="49E12726" w14:textId="11F2608F" w:rsidR="005A4A12" w:rsidRDefault="005A4A12" w:rsidP="00595AA4">
      <w:pPr>
        <w:ind w:left="720" w:firstLine="720"/>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sidR="00EA1385">
        <w:rPr>
          <w:rFonts w:cs="Arial"/>
          <w:b/>
          <w:u w:val="single"/>
        </w:rPr>
        <w:t>v</w:t>
      </w:r>
      <w:r>
        <w:rPr>
          <w:rFonts w:cs="Arial"/>
          <w:b/>
          <w:u w:val="single"/>
        </w:rPr>
        <w:t>ery cold</w:t>
      </w:r>
      <w:r>
        <w:rPr>
          <w:rFonts w:cs="Arial"/>
          <w:b/>
          <w:u w:val="single"/>
        </w:rPr>
        <w:tab/>
      </w:r>
      <w:r>
        <w:rPr>
          <w:rFonts w:cs="Arial"/>
          <w:b/>
          <w:u w:val="single"/>
        </w:rPr>
        <w:tab/>
        <w:t xml:space="preserve">  v</w:t>
      </w:r>
    </w:p>
    <w:p w14:paraId="1691D40A" w14:textId="2F404827" w:rsidR="005A4A12" w:rsidRDefault="005A4A12" w:rsidP="00595AA4">
      <w:pPr>
        <w:ind w:left="720" w:firstLine="720"/>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sidR="00EA1385">
        <w:rPr>
          <w:rFonts w:cs="Arial"/>
          <w:b/>
          <w:u w:val="single"/>
        </w:rPr>
        <w:t>h</w:t>
      </w:r>
      <w:r>
        <w:rPr>
          <w:rFonts w:cs="Arial"/>
          <w:b/>
          <w:u w:val="single"/>
        </w:rPr>
        <w:t>ypermaritime</w:t>
      </w:r>
      <w:r>
        <w:rPr>
          <w:rFonts w:cs="Arial"/>
          <w:b/>
          <w:u w:val="single"/>
        </w:rPr>
        <w:tab/>
      </w:r>
      <w:r>
        <w:rPr>
          <w:rFonts w:cs="Arial"/>
          <w:b/>
          <w:u w:val="single"/>
        </w:rPr>
        <w:tab/>
        <w:t xml:space="preserve">  h</w:t>
      </w:r>
    </w:p>
    <w:p w14:paraId="7A03B63C" w14:textId="795B04A5" w:rsidR="005A4A12" w:rsidRDefault="005A4A12" w:rsidP="00595AA4">
      <w:pPr>
        <w:ind w:left="720" w:firstLine="720"/>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sidR="00EA1385">
        <w:rPr>
          <w:rFonts w:cs="Arial"/>
          <w:b/>
          <w:u w:val="single"/>
        </w:rPr>
        <w:t>m</w:t>
      </w:r>
      <w:r>
        <w:rPr>
          <w:rFonts w:cs="Arial"/>
          <w:b/>
          <w:u w:val="single"/>
        </w:rPr>
        <w:t>aritime</w:t>
      </w:r>
      <w:r>
        <w:rPr>
          <w:rFonts w:cs="Arial"/>
          <w:b/>
          <w:u w:val="single"/>
        </w:rPr>
        <w:tab/>
      </w:r>
      <w:r>
        <w:rPr>
          <w:rFonts w:cs="Arial"/>
          <w:b/>
          <w:u w:val="single"/>
        </w:rPr>
        <w:tab/>
        <w:t xml:space="preserve">  m</w:t>
      </w:r>
    </w:p>
    <w:p w14:paraId="61BE6BBA" w14:textId="04467BCD" w:rsidR="005A4A12" w:rsidRDefault="005A4A12" w:rsidP="00595AA4">
      <w:pPr>
        <w:ind w:left="720" w:firstLine="720"/>
        <w:rPr>
          <w:rFonts w:cs="Arial"/>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sidR="00EA1385">
        <w:rPr>
          <w:rFonts w:cs="Arial"/>
          <w:b/>
          <w:u w:val="single"/>
        </w:rPr>
        <w:t>s</w:t>
      </w:r>
      <w:r>
        <w:rPr>
          <w:rFonts w:cs="Arial"/>
          <w:b/>
          <w:u w:val="single"/>
        </w:rPr>
        <w:t>ubmaritime</w:t>
      </w:r>
      <w:r>
        <w:rPr>
          <w:rFonts w:cs="Arial"/>
          <w:b/>
          <w:u w:val="single"/>
        </w:rPr>
        <w:tab/>
      </w:r>
      <w:r>
        <w:rPr>
          <w:rFonts w:cs="Arial"/>
          <w:b/>
          <w:u w:val="single"/>
        </w:rPr>
        <w:tab/>
        <w:t xml:space="preserve">  s</w:t>
      </w:r>
    </w:p>
    <w:p w14:paraId="51686EDB" w14:textId="39F8B7F8" w:rsidR="00C52D81" w:rsidRDefault="008C2455" w:rsidP="00C938EC">
      <w:r>
        <w:rPr>
          <w:rFonts w:cs="Arial"/>
        </w:rPr>
        <w:t>If the BGC subzone</w:t>
      </w:r>
      <w:r w:rsidRPr="008C2455">
        <w:rPr>
          <w:rFonts w:cs="Arial"/>
        </w:rPr>
        <w:t xml:space="preserve"> </w:t>
      </w:r>
      <w:r>
        <w:rPr>
          <w:rFonts w:cs="Arial"/>
        </w:rPr>
        <w:t>of the harvest area has codes indicating it tends to be</w:t>
      </w:r>
      <w:r w:rsidR="00EA1385">
        <w:rPr>
          <w:rFonts w:cs="Arial"/>
        </w:rPr>
        <w:t xml:space="preserve"> wetter </w:t>
      </w:r>
      <w:r>
        <w:rPr>
          <w:rFonts w:cs="Arial"/>
        </w:rPr>
        <w:t>and colder, (</w:t>
      </w:r>
      <w:r w:rsidR="00EA1385">
        <w:rPr>
          <w:rFonts w:cs="Arial"/>
        </w:rPr>
        <w:t xml:space="preserve">or more hypermaritime </w:t>
      </w:r>
      <w:r>
        <w:rPr>
          <w:rFonts w:cs="Arial"/>
        </w:rPr>
        <w:t>for coastal sites), the assess</w:t>
      </w:r>
      <w:r w:rsidR="007231C0">
        <w:rPr>
          <w:rFonts w:cs="Arial"/>
        </w:rPr>
        <w:t xml:space="preserve">or </w:t>
      </w:r>
      <w:r>
        <w:rPr>
          <w:rFonts w:cs="Arial"/>
        </w:rPr>
        <w:t>would be justified in awarding negative points</w:t>
      </w:r>
      <w:r w:rsidR="00CA3F31">
        <w:rPr>
          <w:rFonts w:cs="Arial"/>
        </w:rPr>
        <w:t>.  Similarly if the</w:t>
      </w:r>
      <w:r>
        <w:rPr>
          <w:rFonts w:cs="Arial"/>
        </w:rPr>
        <w:t xml:space="preserve"> </w:t>
      </w:r>
      <w:r w:rsidR="00CA3F31">
        <w:rPr>
          <w:rFonts w:cs="Arial"/>
        </w:rPr>
        <w:t>BGC subzone</w:t>
      </w:r>
      <w:r w:rsidR="00CA3F31" w:rsidRPr="008C2455">
        <w:rPr>
          <w:rFonts w:cs="Arial"/>
        </w:rPr>
        <w:t xml:space="preserve"> </w:t>
      </w:r>
      <w:r w:rsidR="00CA3F31">
        <w:rPr>
          <w:rFonts w:cs="Arial"/>
        </w:rPr>
        <w:t xml:space="preserve">of the harvest area has codes indicating it tends to be drier and hotter, (or more submaritime for coastal sites), the assessor should award positive points.  </w:t>
      </w:r>
      <w:r w:rsidR="00EA1385">
        <w:rPr>
          <w:rFonts w:cs="Arial"/>
        </w:rPr>
        <w:t xml:space="preserve"> </w:t>
      </w:r>
      <w:r w:rsidR="00344923">
        <w:rPr>
          <w:rFonts w:cs="Arial"/>
        </w:rPr>
        <w:t xml:space="preserve">  </w:t>
      </w:r>
      <w:r w:rsidR="00C52D81">
        <w:rPr>
          <w:rFonts w:cs="Arial"/>
        </w:rPr>
        <w:t xml:space="preserve"> </w:t>
      </w:r>
    </w:p>
    <w:p w14:paraId="4B96C111" w14:textId="23EECF7D" w:rsidR="00C938EC" w:rsidRDefault="00C938EC" w:rsidP="00C938EC">
      <w:r w:rsidRPr="00F3235D">
        <w:rPr>
          <w:b/>
        </w:rPr>
        <w:t>FIRE HAZARD ASSESSMENT TOTAL</w:t>
      </w:r>
      <w:r>
        <w:t xml:space="preserve">: This provides a relatively subjective score </w:t>
      </w:r>
      <w:r w:rsidR="005414D9">
        <w:t xml:space="preserve">that </w:t>
      </w:r>
      <w:r>
        <w:t xml:space="preserve">the assessor </w:t>
      </w:r>
      <w:r w:rsidR="005414D9">
        <w:t>sh</w:t>
      </w:r>
      <w:r>
        <w:t>o</w:t>
      </w:r>
      <w:r w:rsidR="005414D9">
        <w:t>uld</w:t>
      </w:r>
      <w:r>
        <w:t xml:space="preserve"> consider </w:t>
      </w:r>
      <w:r w:rsidR="005414D9">
        <w:t xml:space="preserve">in conjunction with whether the </w:t>
      </w:r>
      <w:r w:rsidR="005414D9" w:rsidRPr="00595AA4">
        <w:rPr>
          <w:b/>
        </w:rPr>
        <w:t>Fuel Hazard Rating</w:t>
      </w:r>
      <w:r w:rsidR="00595AA4">
        <w:rPr>
          <w:b/>
        </w:rPr>
        <w:t xml:space="preserve"> for Dispersed Fuels</w:t>
      </w:r>
      <w:r w:rsidR="005414D9">
        <w:t xml:space="preserve"> from the table exceeds 14 points to </w:t>
      </w:r>
      <w:r>
        <w:t>decid</w:t>
      </w:r>
      <w:r w:rsidR="005414D9">
        <w:t>e</w:t>
      </w:r>
      <w:r>
        <w:t xml:space="preserve"> if fire hazard abatement treatments are necessary for the dispersed fuels.</w:t>
      </w:r>
      <w:r w:rsidR="005414D9">
        <w:t xml:space="preserve">  </w:t>
      </w:r>
    </w:p>
    <w:p w14:paraId="5979208E" w14:textId="4A4B09A8" w:rsidR="00A51374" w:rsidRDefault="00C938EC" w:rsidP="00C938EC">
      <w:r w:rsidRPr="00F00E32">
        <w:rPr>
          <w:b/>
        </w:rPr>
        <w:t>Fire Hazard Abatement Treatments:</w:t>
      </w:r>
      <w:r>
        <w:t xml:space="preserve">  </w:t>
      </w:r>
      <w:r w:rsidR="00A51374">
        <w:t>Although</w:t>
      </w:r>
      <w:r w:rsidR="00CA3F31">
        <w:t xml:space="preserve"> t</w:t>
      </w:r>
      <w:r w:rsidR="00D61D64">
        <w:t xml:space="preserve">he Wildfire Regulation doesn’t </w:t>
      </w:r>
      <w:r w:rsidR="00CA3F31">
        <w:t xml:space="preserve">specifically </w:t>
      </w:r>
      <w:r w:rsidR="00D61D64">
        <w:t>require a fire hazard assessment to s</w:t>
      </w:r>
      <w:r>
        <w:t>pecify fire hazard abatement treatments</w:t>
      </w:r>
      <w:r w:rsidR="00A51374">
        <w:t>,</w:t>
      </w:r>
      <w:r>
        <w:t xml:space="preserve"> </w:t>
      </w:r>
      <w:r w:rsidR="00CA3F31">
        <w:t xml:space="preserve">this template is predicated on the basis that there is no need to measure or describe fuel accumulations at roadsides or landings if the assessment clearly indicates </w:t>
      </w:r>
      <w:r w:rsidR="00A51374">
        <w:t xml:space="preserve">that </w:t>
      </w:r>
      <w:r w:rsidR="00CA3F31">
        <w:t xml:space="preserve">the fire </w:t>
      </w:r>
      <w:r w:rsidR="00A51374">
        <w:t xml:space="preserve">hazard associated with </w:t>
      </w:r>
      <w:r w:rsidR="00CA3F31">
        <w:t>these fuel accumulations</w:t>
      </w:r>
      <w:r w:rsidR="00A51374">
        <w:t xml:space="preserve"> will be abated.  Therefore the template has a check box to indicate if these piles will be burnt or space to describe other methods that w</w:t>
      </w:r>
      <w:r w:rsidR="00280ADA">
        <w:t>i</w:t>
      </w:r>
      <w:r w:rsidR="00A51374">
        <w:t xml:space="preserve">ll be used to abate these slash accumulations.  If the </w:t>
      </w:r>
      <w:r w:rsidR="00280ADA">
        <w:lastRenderedPageBreak/>
        <w:t xml:space="preserve">plan is to not abate the </w:t>
      </w:r>
      <w:r w:rsidR="00A51374">
        <w:t>fire hazard associated with fuel accumulations at roadsides or landings then a qualified</w:t>
      </w:r>
      <w:r w:rsidR="00067267">
        <w:rPr>
          <w:rStyle w:val="FootnoteReference"/>
          <w:rFonts w:ascii="Arial" w:hAnsi="Arial" w:cs="Arial"/>
          <w:sz w:val="24"/>
          <w:szCs w:val="24"/>
        </w:rPr>
        <w:footnoteReference w:id="2"/>
      </w:r>
      <w:r w:rsidR="00A51374">
        <w:t xml:space="preserve"> forest professional </w:t>
      </w:r>
      <w:r w:rsidR="00A51374" w:rsidRPr="00595AA4">
        <w:rPr>
          <w:u w:val="single"/>
        </w:rPr>
        <w:t>must</w:t>
      </w:r>
      <w:r w:rsidR="00A51374">
        <w:t xml:space="preserve"> prepare a </w:t>
      </w:r>
      <w:r w:rsidR="00280ADA">
        <w:t xml:space="preserve">second fire hazard assessment for fuel accumulations at roadsides or landings with a </w:t>
      </w:r>
      <w:r w:rsidR="00A51374">
        <w:t xml:space="preserve">rationale </w:t>
      </w:r>
      <w:r w:rsidR="00280ADA">
        <w:t xml:space="preserve">to </w:t>
      </w:r>
      <w:r w:rsidR="005414D9">
        <w:t xml:space="preserve">justify </w:t>
      </w:r>
      <w:r w:rsidR="00280ADA">
        <w:t>why there is no need to abate the associated fire hazard.</w:t>
      </w:r>
    </w:p>
    <w:p w14:paraId="71797766" w14:textId="0F0E3FB7" w:rsidR="00C938EC" w:rsidRDefault="00A51374" w:rsidP="00C938EC">
      <w:r>
        <w:t>T</w:t>
      </w:r>
      <w:r w:rsidR="00C938EC">
        <w:t>h</w:t>
      </w:r>
      <w:r>
        <w:t>e templ</w:t>
      </w:r>
      <w:r w:rsidR="00C938EC">
        <w:t>at</w:t>
      </w:r>
      <w:r>
        <w:t>e also asks for</w:t>
      </w:r>
      <w:r w:rsidR="00C938EC">
        <w:t xml:space="preserve"> a</w:t>
      </w:r>
      <w:r w:rsidR="00280ADA">
        <w:t xml:space="preserve"> description of any</w:t>
      </w:r>
      <w:r w:rsidR="00C938EC">
        <w:t xml:space="preserve"> appropriate </w:t>
      </w:r>
      <w:r w:rsidR="00280ADA">
        <w:t>abatement treatments for</w:t>
      </w:r>
      <w:r w:rsidR="00C938EC">
        <w:t xml:space="preserve"> </w:t>
      </w:r>
      <w:r w:rsidR="00845250">
        <w:t>areas of</w:t>
      </w:r>
      <w:r w:rsidR="00E03409">
        <w:t xml:space="preserve"> </w:t>
      </w:r>
      <w:r w:rsidR="00C938EC">
        <w:t xml:space="preserve">dispersed </w:t>
      </w:r>
      <w:r w:rsidR="00CC7BC1">
        <w:t>fuel</w:t>
      </w:r>
      <w:r w:rsidR="00E03409">
        <w:t xml:space="preserve"> on the remainder of the harvest area</w:t>
      </w:r>
      <w:r w:rsidR="00C938EC">
        <w:t>.</w:t>
      </w:r>
      <w:r w:rsidR="00F43B05">
        <w:t xml:space="preserve">  </w:t>
      </w:r>
      <w:r w:rsidR="00D61D64">
        <w:t>Abatement t</w:t>
      </w:r>
      <w:r w:rsidR="00F43B05">
        <w:t xml:space="preserve">reatments </w:t>
      </w:r>
      <w:r w:rsidR="00D61D64">
        <w:t xml:space="preserve">usually </w:t>
      </w:r>
      <w:r w:rsidR="00F43B05">
        <w:t>include hand or machine piling and burning or grinding or chipping and removal (utilization) of roadside or landing slash accumulations.</w:t>
      </w:r>
    </w:p>
    <w:p w14:paraId="5BE6762B" w14:textId="77777777" w:rsidR="00C938EC" w:rsidRDefault="00C938EC" w:rsidP="00C938EC">
      <w:pPr>
        <w:rPr>
          <w:rFonts w:ascii="Arial" w:hAnsi="Arial" w:cs="Arial"/>
          <w:b/>
          <w:sz w:val="24"/>
          <w:szCs w:val="24"/>
        </w:rPr>
      </w:pPr>
    </w:p>
    <w:p w14:paraId="3350420A" w14:textId="5AF5C593" w:rsidR="00E03409" w:rsidRDefault="00CC7BC1" w:rsidP="00C938EC">
      <w:pPr>
        <w:rPr>
          <w:rFonts w:ascii="Arial" w:hAnsi="Arial" w:cs="Arial"/>
          <w:b/>
          <w:sz w:val="24"/>
          <w:szCs w:val="24"/>
        </w:rPr>
      </w:pPr>
      <w:r w:rsidRPr="003E3921">
        <w:rPr>
          <w:rFonts w:ascii="Arial" w:hAnsi="Arial" w:cs="Arial"/>
          <w:b/>
          <w:sz w:val="24"/>
          <w:szCs w:val="24"/>
        </w:rPr>
        <w:t xml:space="preserve">Time </w:t>
      </w:r>
      <w:r w:rsidR="00F92E2A" w:rsidRPr="003E3921">
        <w:rPr>
          <w:rFonts w:ascii="Arial" w:hAnsi="Arial" w:cs="Arial"/>
          <w:b/>
          <w:sz w:val="24"/>
          <w:szCs w:val="24"/>
        </w:rPr>
        <w:t>Interval Between</w:t>
      </w:r>
      <w:r w:rsidR="00E03409" w:rsidRPr="003E3921">
        <w:rPr>
          <w:rFonts w:ascii="Arial" w:hAnsi="Arial" w:cs="Arial"/>
          <w:b/>
          <w:sz w:val="24"/>
          <w:szCs w:val="24"/>
        </w:rPr>
        <w:t xml:space="preserve"> </w:t>
      </w:r>
      <w:r w:rsidR="00F92E2A" w:rsidRPr="003E3921">
        <w:rPr>
          <w:rFonts w:ascii="Arial" w:hAnsi="Arial" w:cs="Arial"/>
          <w:b/>
          <w:sz w:val="24"/>
          <w:szCs w:val="24"/>
        </w:rPr>
        <w:t>Completi</w:t>
      </w:r>
      <w:r w:rsidR="00A87B8E" w:rsidRPr="003E3921">
        <w:rPr>
          <w:rFonts w:ascii="Arial" w:hAnsi="Arial" w:cs="Arial"/>
          <w:b/>
          <w:sz w:val="24"/>
          <w:szCs w:val="24"/>
        </w:rPr>
        <w:t>o</w:t>
      </w:r>
      <w:r w:rsidR="00F92E2A" w:rsidRPr="003E3921">
        <w:rPr>
          <w:rFonts w:ascii="Arial" w:hAnsi="Arial" w:cs="Arial"/>
          <w:b/>
          <w:sz w:val="24"/>
          <w:szCs w:val="24"/>
        </w:rPr>
        <w:t>n</w:t>
      </w:r>
      <w:r w:rsidR="00A87B8E" w:rsidRPr="003E3921">
        <w:rPr>
          <w:rFonts w:ascii="Arial" w:hAnsi="Arial" w:cs="Arial"/>
          <w:b/>
          <w:sz w:val="24"/>
          <w:szCs w:val="24"/>
        </w:rPr>
        <w:t xml:space="preserve"> of</w:t>
      </w:r>
      <w:r w:rsidR="00F92E2A" w:rsidRPr="003E3921">
        <w:rPr>
          <w:rFonts w:ascii="Arial" w:hAnsi="Arial" w:cs="Arial"/>
          <w:b/>
          <w:sz w:val="24"/>
          <w:szCs w:val="24"/>
        </w:rPr>
        <w:t xml:space="preserve"> </w:t>
      </w:r>
      <w:r w:rsidR="00E03409" w:rsidRPr="003E3921">
        <w:rPr>
          <w:rFonts w:ascii="Arial" w:hAnsi="Arial" w:cs="Arial"/>
          <w:b/>
          <w:sz w:val="24"/>
          <w:szCs w:val="24"/>
        </w:rPr>
        <w:t>Fires Hazard Assessments</w:t>
      </w:r>
      <w:r w:rsidR="009F6451">
        <w:rPr>
          <w:rFonts w:ascii="Arial" w:hAnsi="Arial" w:cs="Arial"/>
          <w:b/>
          <w:sz w:val="24"/>
          <w:szCs w:val="24"/>
        </w:rPr>
        <w:t xml:space="preserve"> </w:t>
      </w:r>
    </w:p>
    <w:p w14:paraId="6A45605A" w14:textId="31262E88" w:rsidR="0032011F" w:rsidRDefault="00DD542C" w:rsidP="00EA6E0F">
      <w:pPr>
        <w:pStyle w:val="para"/>
        <w:shd w:val="clear" w:color="auto" w:fill="FFFFFF"/>
        <w:spacing w:before="120" w:beforeAutospacing="0" w:after="0" w:afterAutospacing="0" w:line="360" w:lineRule="atLeast"/>
        <w:rPr>
          <w:rFonts w:ascii="Arial" w:hAnsi="Arial" w:cs="Arial"/>
          <w:color w:val="000000"/>
        </w:rPr>
      </w:pPr>
      <w:r>
        <w:rPr>
          <w:rFonts w:ascii="Arial" w:hAnsi="Arial" w:cs="Arial"/>
        </w:rPr>
        <w:t xml:space="preserve">Section 11 of the Wildfire Regulation </w:t>
      </w:r>
      <w:r w:rsidR="00280ADA">
        <w:rPr>
          <w:rFonts w:ascii="Arial" w:hAnsi="Arial" w:cs="Arial"/>
        </w:rPr>
        <w:t>p</w:t>
      </w:r>
      <w:r w:rsidR="006C438B">
        <w:rPr>
          <w:rFonts w:ascii="Arial" w:hAnsi="Arial" w:cs="Arial"/>
        </w:rPr>
        <w:t>re</w:t>
      </w:r>
      <w:r w:rsidR="00280ADA">
        <w:rPr>
          <w:rFonts w:ascii="Arial" w:hAnsi="Arial" w:cs="Arial"/>
        </w:rPr>
        <w:t>s</w:t>
      </w:r>
      <w:r w:rsidR="006C438B">
        <w:rPr>
          <w:rFonts w:ascii="Arial" w:hAnsi="Arial" w:cs="Arial"/>
        </w:rPr>
        <w:t>c</w:t>
      </w:r>
      <w:r w:rsidR="007708B3">
        <w:rPr>
          <w:rFonts w:ascii="Arial" w:hAnsi="Arial" w:cs="Arial"/>
        </w:rPr>
        <w:t>rib</w:t>
      </w:r>
      <w:r w:rsidR="006C438B">
        <w:rPr>
          <w:rFonts w:ascii="Arial" w:hAnsi="Arial" w:cs="Arial"/>
        </w:rPr>
        <w:t xml:space="preserve">es </w:t>
      </w:r>
      <w:r w:rsidR="007708B3">
        <w:rPr>
          <w:rFonts w:ascii="Arial" w:hAnsi="Arial" w:cs="Arial"/>
        </w:rPr>
        <w:t xml:space="preserve">that </w:t>
      </w:r>
      <w:r>
        <w:rPr>
          <w:rFonts w:ascii="Arial" w:hAnsi="Arial" w:cs="Arial"/>
        </w:rPr>
        <w:t xml:space="preserve">a woodlot licence holder </w:t>
      </w:r>
      <w:r w:rsidR="007708B3">
        <w:rPr>
          <w:rFonts w:ascii="Arial" w:hAnsi="Arial" w:cs="Arial"/>
        </w:rPr>
        <w:t>sh</w:t>
      </w:r>
      <w:r>
        <w:rPr>
          <w:rFonts w:ascii="Arial" w:hAnsi="Arial" w:cs="Arial"/>
        </w:rPr>
        <w:t>o</w:t>
      </w:r>
      <w:r w:rsidR="007708B3">
        <w:rPr>
          <w:rFonts w:ascii="Arial" w:hAnsi="Arial" w:cs="Arial"/>
        </w:rPr>
        <w:t>uld</w:t>
      </w:r>
      <w:r>
        <w:rPr>
          <w:rFonts w:ascii="Arial" w:hAnsi="Arial" w:cs="Arial"/>
        </w:rPr>
        <w:t xml:space="preserve"> complete </w:t>
      </w:r>
      <w:r w:rsidR="007708B3">
        <w:rPr>
          <w:rFonts w:ascii="Arial" w:hAnsi="Arial" w:cs="Arial"/>
        </w:rPr>
        <w:t xml:space="preserve">a </w:t>
      </w:r>
      <w:r>
        <w:rPr>
          <w:rFonts w:ascii="Arial" w:hAnsi="Arial" w:cs="Arial"/>
        </w:rPr>
        <w:t>fire hazard assessment</w:t>
      </w:r>
      <w:r w:rsidR="006C438B">
        <w:rPr>
          <w:rFonts w:ascii="Arial" w:hAnsi="Arial" w:cs="Arial"/>
        </w:rPr>
        <w:t xml:space="preserve"> </w:t>
      </w:r>
      <w:r>
        <w:rPr>
          <w:rFonts w:ascii="Arial" w:hAnsi="Arial" w:cs="Arial"/>
        </w:rPr>
        <w:t xml:space="preserve">every 3 to 6 months for </w:t>
      </w:r>
      <w:r w:rsidR="007708B3">
        <w:rPr>
          <w:rFonts w:ascii="Arial" w:hAnsi="Arial" w:cs="Arial"/>
        </w:rPr>
        <w:t xml:space="preserve">an </w:t>
      </w:r>
      <w:r>
        <w:rPr>
          <w:rFonts w:ascii="Arial" w:hAnsi="Arial" w:cs="Arial"/>
        </w:rPr>
        <w:t xml:space="preserve">area where </w:t>
      </w:r>
      <w:r w:rsidR="00845250">
        <w:rPr>
          <w:rFonts w:ascii="Arial" w:hAnsi="Arial" w:cs="Arial"/>
        </w:rPr>
        <w:t xml:space="preserve">an activity like harvesting </w:t>
      </w:r>
      <w:r>
        <w:rPr>
          <w:rFonts w:ascii="Arial" w:hAnsi="Arial" w:cs="Arial"/>
        </w:rPr>
        <w:t xml:space="preserve">is </w:t>
      </w:r>
      <w:r w:rsidR="00845250">
        <w:rPr>
          <w:rFonts w:ascii="Arial" w:hAnsi="Arial" w:cs="Arial"/>
        </w:rPr>
        <w:t>c</w:t>
      </w:r>
      <w:r>
        <w:rPr>
          <w:rFonts w:ascii="Arial" w:hAnsi="Arial" w:cs="Arial"/>
        </w:rPr>
        <w:t>a</w:t>
      </w:r>
      <w:r w:rsidR="00845250">
        <w:rPr>
          <w:rFonts w:ascii="Arial" w:hAnsi="Arial" w:cs="Arial"/>
        </w:rPr>
        <w:t>r</w:t>
      </w:r>
      <w:r>
        <w:rPr>
          <w:rFonts w:ascii="Arial" w:hAnsi="Arial" w:cs="Arial"/>
        </w:rPr>
        <w:t>r</w:t>
      </w:r>
      <w:r w:rsidR="00845250">
        <w:rPr>
          <w:rFonts w:ascii="Arial" w:hAnsi="Arial" w:cs="Arial"/>
        </w:rPr>
        <w:t>i</w:t>
      </w:r>
      <w:r>
        <w:rPr>
          <w:rFonts w:ascii="Arial" w:hAnsi="Arial" w:cs="Arial"/>
        </w:rPr>
        <w:t>e</w:t>
      </w:r>
      <w:r w:rsidR="00845250">
        <w:rPr>
          <w:rFonts w:ascii="Arial" w:hAnsi="Arial" w:cs="Arial"/>
        </w:rPr>
        <w:t>d</w:t>
      </w:r>
      <w:r>
        <w:rPr>
          <w:rFonts w:ascii="Arial" w:hAnsi="Arial" w:cs="Arial"/>
        </w:rPr>
        <w:t xml:space="preserve"> </w:t>
      </w:r>
      <w:r w:rsidR="00845250">
        <w:rPr>
          <w:rFonts w:ascii="Arial" w:hAnsi="Arial" w:cs="Arial"/>
        </w:rPr>
        <w:t>o</w:t>
      </w:r>
      <w:r>
        <w:rPr>
          <w:rFonts w:ascii="Arial" w:hAnsi="Arial" w:cs="Arial"/>
        </w:rPr>
        <w:t>n</w:t>
      </w:r>
      <w:r w:rsidR="00845250">
        <w:rPr>
          <w:rFonts w:ascii="Arial" w:hAnsi="Arial" w:cs="Arial"/>
        </w:rPr>
        <w:t xml:space="preserve"> </w:t>
      </w:r>
      <w:r>
        <w:rPr>
          <w:rFonts w:ascii="Arial" w:hAnsi="Arial" w:cs="Arial"/>
        </w:rPr>
        <w:t>f</w:t>
      </w:r>
      <w:r w:rsidR="00845250">
        <w:rPr>
          <w:rFonts w:ascii="Arial" w:hAnsi="Arial" w:cs="Arial"/>
        </w:rPr>
        <w:t>or a longer period of time</w:t>
      </w:r>
      <w:r>
        <w:rPr>
          <w:rFonts w:ascii="Arial" w:hAnsi="Arial" w:cs="Arial"/>
        </w:rPr>
        <w:t xml:space="preserve">.  </w:t>
      </w:r>
      <w:r w:rsidR="00CF1539" w:rsidRPr="00CF1539">
        <w:rPr>
          <w:rFonts w:ascii="Arial" w:hAnsi="Arial" w:cs="Arial"/>
        </w:rPr>
        <w:t xml:space="preserve">Fire hazard assessments are supposed to be completed every 3 months for woodlot harvest areas that are </w:t>
      </w:r>
      <w:r w:rsidR="00CF1539" w:rsidRPr="00EA6E0F">
        <w:rPr>
          <w:rFonts w:ascii="Arial" w:hAnsi="Arial" w:cs="Arial"/>
          <w:color w:val="000000"/>
        </w:rPr>
        <w:t xml:space="preserve">inside, or within 2 km of, the boundaries of </w:t>
      </w:r>
      <w:bookmarkStart w:id="0" w:name="d2e2040"/>
      <w:bookmarkEnd w:id="0"/>
    </w:p>
    <w:p w14:paraId="6C5926FC" w14:textId="77777777" w:rsidR="0032011F" w:rsidRPr="002556F5" w:rsidRDefault="00CF1539" w:rsidP="002556F5">
      <w:pPr>
        <w:pStyle w:val="para"/>
        <w:numPr>
          <w:ilvl w:val="0"/>
          <w:numId w:val="11"/>
        </w:numPr>
        <w:shd w:val="clear" w:color="auto" w:fill="FFFFFF"/>
        <w:spacing w:before="120" w:beforeAutospacing="0" w:after="0" w:afterAutospacing="0" w:line="360" w:lineRule="atLeast"/>
        <w:rPr>
          <w:rFonts w:ascii="Arial" w:hAnsi="Arial" w:cs="Arial"/>
          <w:color w:val="000000"/>
        </w:rPr>
      </w:pPr>
      <w:r>
        <w:rPr>
          <w:rFonts w:ascii="Arial" w:hAnsi="Arial" w:cs="Arial"/>
          <w:color w:val="000000"/>
        </w:rPr>
        <w:t xml:space="preserve">an </w:t>
      </w:r>
      <w:r>
        <w:rPr>
          <w:rFonts w:ascii="Verdana" w:hAnsi="Verdana"/>
          <w:color w:val="000000"/>
          <w:sz w:val="22"/>
          <w:szCs w:val="22"/>
          <w:shd w:val="clear" w:color="auto" w:fill="FFFFFF"/>
        </w:rPr>
        <w:t xml:space="preserve">improvement district, </w:t>
      </w:r>
    </w:p>
    <w:p w14:paraId="4F2D4CC7" w14:textId="77777777" w:rsidR="002556F5" w:rsidRPr="002556F5" w:rsidRDefault="00CF1539" w:rsidP="002556F5">
      <w:pPr>
        <w:pStyle w:val="para"/>
        <w:numPr>
          <w:ilvl w:val="0"/>
          <w:numId w:val="11"/>
        </w:numPr>
        <w:shd w:val="clear" w:color="auto" w:fill="FFFFFF"/>
        <w:spacing w:before="120" w:beforeAutospacing="0" w:after="0" w:afterAutospacing="0" w:line="360" w:lineRule="atLeast"/>
        <w:rPr>
          <w:rFonts w:ascii="Arial" w:hAnsi="Arial" w:cs="Arial"/>
          <w:color w:val="000000"/>
        </w:rPr>
      </w:pPr>
      <w:r>
        <w:rPr>
          <w:rFonts w:ascii="Verdana" w:hAnsi="Verdana"/>
          <w:color w:val="000000"/>
          <w:sz w:val="22"/>
          <w:szCs w:val="22"/>
          <w:shd w:val="clear" w:color="auto" w:fill="FFFFFF"/>
        </w:rPr>
        <w:t xml:space="preserve">a water improvement district, </w:t>
      </w:r>
    </w:p>
    <w:p w14:paraId="3D831F28" w14:textId="39E45DE3" w:rsidR="0032011F" w:rsidRPr="002556F5" w:rsidRDefault="002556F5" w:rsidP="002556F5">
      <w:pPr>
        <w:pStyle w:val="para"/>
        <w:numPr>
          <w:ilvl w:val="0"/>
          <w:numId w:val="11"/>
        </w:numPr>
        <w:shd w:val="clear" w:color="auto" w:fill="FFFFFF"/>
        <w:spacing w:before="120" w:beforeAutospacing="0" w:after="0" w:afterAutospacing="0" w:line="360" w:lineRule="atLeast"/>
        <w:rPr>
          <w:rFonts w:ascii="Arial" w:hAnsi="Arial" w:cs="Arial"/>
          <w:color w:val="000000"/>
        </w:rPr>
      </w:pPr>
      <w:r>
        <w:rPr>
          <w:rFonts w:ascii="Verdana" w:hAnsi="Verdana"/>
          <w:color w:val="000000"/>
          <w:sz w:val="22"/>
          <w:szCs w:val="22"/>
          <w:shd w:val="clear" w:color="auto" w:fill="FFFFFF"/>
        </w:rPr>
        <w:t xml:space="preserve">a prescribed organization (e.g. a treaty first nation), </w:t>
      </w:r>
      <w:r w:rsidR="0032011F">
        <w:rPr>
          <w:rFonts w:ascii="Verdana" w:hAnsi="Verdana"/>
          <w:color w:val="000000"/>
          <w:sz w:val="22"/>
          <w:szCs w:val="22"/>
          <w:shd w:val="clear" w:color="auto" w:fill="FFFFFF"/>
        </w:rPr>
        <w:t>or</w:t>
      </w:r>
    </w:p>
    <w:p w14:paraId="77EDFC46" w14:textId="731F879A" w:rsidR="0032011F" w:rsidRDefault="00CF1539" w:rsidP="002556F5">
      <w:pPr>
        <w:pStyle w:val="para"/>
        <w:numPr>
          <w:ilvl w:val="0"/>
          <w:numId w:val="11"/>
        </w:numPr>
        <w:shd w:val="clear" w:color="auto" w:fill="FFFFFF"/>
        <w:spacing w:before="120" w:beforeAutospacing="0" w:after="0" w:afterAutospacing="0" w:line="360" w:lineRule="atLeast"/>
        <w:rPr>
          <w:rFonts w:ascii="Arial" w:hAnsi="Arial" w:cs="Arial"/>
          <w:color w:val="000000"/>
        </w:rPr>
      </w:pPr>
      <w:bookmarkStart w:id="1" w:name="d2e2049"/>
      <w:bookmarkEnd w:id="1"/>
      <w:r w:rsidRPr="002556F5">
        <w:rPr>
          <w:rFonts w:ascii="Arial" w:hAnsi="Arial" w:cs="Arial"/>
          <w:color w:val="000000"/>
        </w:rPr>
        <w:t xml:space="preserve">a fire protection district </w:t>
      </w:r>
      <w:r w:rsidR="00EF61D1">
        <w:rPr>
          <w:rFonts w:ascii="Arial" w:hAnsi="Arial" w:cs="Arial"/>
          <w:color w:val="000000"/>
        </w:rPr>
        <w:t xml:space="preserve">that is </w:t>
      </w:r>
      <w:r w:rsidRPr="002556F5">
        <w:rPr>
          <w:rFonts w:ascii="Arial" w:hAnsi="Arial" w:cs="Arial"/>
          <w:color w:val="000000"/>
        </w:rPr>
        <w:t>within in a regional district</w:t>
      </w:r>
      <w:r>
        <w:rPr>
          <w:rFonts w:ascii="Arial" w:hAnsi="Arial" w:cs="Arial"/>
          <w:color w:val="000000"/>
        </w:rPr>
        <w:t xml:space="preserve">. </w:t>
      </w:r>
    </w:p>
    <w:p w14:paraId="7F6AD587" w14:textId="7FF412B2" w:rsidR="00CF1539" w:rsidRPr="002556F5" w:rsidRDefault="00EF61D1" w:rsidP="002556F5">
      <w:pPr>
        <w:pStyle w:val="para"/>
        <w:shd w:val="clear" w:color="auto" w:fill="FFFFFF"/>
        <w:spacing w:before="120" w:beforeAutospacing="0" w:after="0" w:afterAutospacing="0" w:line="360" w:lineRule="atLeast"/>
        <w:rPr>
          <w:rFonts w:ascii="Arial" w:hAnsi="Arial" w:cs="Arial"/>
          <w:color w:val="000000"/>
        </w:rPr>
      </w:pPr>
      <w:r>
        <w:rPr>
          <w:rFonts w:ascii="Arial" w:hAnsi="Arial" w:cs="Arial"/>
          <w:color w:val="000000"/>
        </w:rPr>
        <w:t>For more remote woodlot licence harvest areas, that are not inside or within one of these specified districts, f</w:t>
      </w:r>
      <w:r w:rsidRPr="00CF1539">
        <w:rPr>
          <w:rFonts w:ascii="Arial" w:hAnsi="Arial" w:cs="Arial"/>
        </w:rPr>
        <w:t xml:space="preserve">ire hazard assessments are supposed to be completed every </w:t>
      </w:r>
      <w:r>
        <w:rPr>
          <w:rFonts w:ascii="Arial" w:hAnsi="Arial" w:cs="Arial"/>
        </w:rPr>
        <w:t>6</w:t>
      </w:r>
      <w:r w:rsidRPr="00CF1539">
        <w:rPr>
          <w:rFonts w:ascii="Arial" w:hAnsi="Arial" w:cs="Arial"/>
        </w:rPr>
        <w:t xml:space="preserve"> months</w:t>
      </w:r>
      <w:r>
        <w:rPr>
          <w:rFonts w:ascii="Arial" w:hAnsi="Arial" w:cs="Arial"/>
        </w:rPr>
        <w:t>.</w:t>
      </w:r>
      <w:r w:rsidR="00CF1539">
        <w:rPr>
          <w:rFonts w:ascii="Arial" w:hAnsi="Arial" w:cs="Arial"/>
          <w:color w:val="000000"/>
        </w:rPr>
        <w:t xml:space="preserve"> </w:t>
      </w:r>
      <w:r w:rsidR="00CF1539" w:rsidRPr="002556F5">
        <w:rPr>
          <w:rFonts w:ascii="Arial" w:hAnsi="Arial" w:cs="Arial"/>
          <w:color w:val="000000"/>
        </w:rPr>
        <w:t xml:space="preserve"> </w:t>
      </w:r>
      <w:r w:rsidR="00C57305">
        <w:rPr>
          <w:rFonts w:ascii="Arial" w:hAnsi="Arial" w:cs="Arial"/>
          <w:color w:val="000000"/>
        </w:rPr>
        <w:t xml:space="preserve">If </w:t>
      </w:r>
      <w:r>
        <w:rPr>
          <w:rFonts w:ascii="Arial" w:hAnsi="Arial" w:cs="Arial"/>
          <w:color w:val="000000"/>
        </w:rPr>
        <w:t>harvest</w:t>
      </w:r>
      <w:r w:rsidR="00C57305">
        <w:rPr>
          <w:rFonts w:ascii="Arial" w:hAnsi="Arial" w:cs="Arial"/>
          <w:color w:val="000000"/>
        </w:rPr>
        <w:t>ing</w:t>
      </w:r>
      <w:r>
        <w:rPr>
          <w:rFonts w:ascii="Arial" w:hAnsi="Arial" w:cs="Arial"/>
          <w:color w:val="000000"/>
        </w:rPr>
        <w:t xml:space="preserve"> is completed on the area within the applicable 3 or 6 month interval then only one fire assessment must be completed at the conclusion of harvesting. </w:t>
      </w:r>
    </w:p>
    <w:p w14:paraId="58D00CE7" w14:textId="77777777" w:rsidR="00C57305" w:rsidRDefault="00C57305" w:rsidP="00CF1539">
      <w:pPr>
        <w:rPr>
          <w:rFonts w:ascii="Arial" w:hAnsi="Arial" w:cs="Arial"/>
          <w:sz w:val="24"/>
          <w:szCs w:val="24"/>
        </w:rPr>
      </w:pPr>
    </w:p>
    <w:p w14:paraId="5E040E1B" w14:textId="6A178361" w:rsidR="002F71B1" w:rsidRDefault="00845250" w:rsidP="00CF1539">
      <w:pPr>
        <w:rPr>
          <w:rFonts w:ascii="Arial" w:hAnsi="Arial" w:cs="Arial"/>
          <w:sz w:val="24"/>
          <w:szCs w:val="24"/>
        </w:rPr>
      </w:pPr>
      <w:r>
        <w:rPr>
          <w:rFonts w:ascii="Arial" w:hAnsi="Arial" w:cs="Arial"/>
          <w:sz w:val="24"/>
          <w:szCs w:val="24"/>
        </w:rPr>
        <w:t xml:space="preserve">Periodically completing fire hazard assessments </w:t>
      </w:r>
      <w:r w:rsidR="00BC6036">
        <w:rPr>
          <w:rFonts w:ascii="Arial" w:hAnsi="Arial" w:cs="Arial"/>
          <w:sz w:val="24"/>
          <w:szCs w:val="24"/>
        </w:rPr>
        <w:t>make</w:t>
      </w:r>
      <w:r w:rsidR="002A7932">
        <w:rPr>
          <w:rFonts w:ascii="Arial" w:hAnsi="Arial" w:cs="Arial"/>
          <w:sz w:val="24"/>
          <w:szCs w:val="24"/>
        </w:rPr>
        <w:t>s</w:t>
      </w:r>
      <w:r w:rsidR="00BC6036">
        <w:rPr>
          <w:rFonts w:ascii="Arial" w:hAnsi="Arial" w:cs="Arial"/>
          <w:sz w:val="24"/>
          <w:szCs w:val="24"/>
        </w:rPr>
        <w:t xml:space="preserve"> sense for prolonged </w:t>
      </w:r>
      <w:r w:rsidR="00F43B05">
        <w:rPr>
          <w:rFonts w:ascii="Arial" w:hAnsi="Arial" w:cs="Arial"/>
          <w:sz w:val="24"/>
          <w:szCs w:val="24"/>
        </w:rPr>
        <w:t xml:space="preserve">or continuous </w:t>
      </w:r>
      <w:r w:rsidR="00BC6036">
        <w:rPr>
          <w:rFonts w:ascii="Arial" w:hAnsi="Arial" w:cs="Arial"/>
          <w:sz w:val="24"/>
          <w:szCs w:val="24"/>
        </w:rPr>
        <w:t>activities like operating a dry land sort or a timber processing facility</w:t>
      </w:r>
      <w:r w:rsidR="006C438B">
        <w:rPr>
          <w:rFonts w:ascii="Arial" w:hAnsi="Arial" w:cs="Arial"/>
          <w:sz w:val="24"/>
          <w:szCs w:val="24"/>
        </w:rPr>
        <w:t>,</w:t>
      </w:r>
      <w:r w:rsidR="00BC6036">
        <w:rPr>
          <w:rFonts w:ascii="Arial" w:hAnsi="Arial" w:cs="Arial"/>
          <w:sz w:val="24"/>
          <w:szCs w:val="24"/>
        </w:rPr>
        <w:t xml:space="preserve"> but </w:t>
      </w:r>
      <w:r w:rsidR="00C57305">
        <w:rPr>
          <w:rFonts w:ascii="Arial" w:hAnsi="Arial" w:cs="Arial"/>
          <w:sz w:val="24"/>
          <w:szCs w:val="24"/>
        </w:rPr>
        <w:t xml:space="preserve">is probably overkill for </w:t>
      </w:r>
      <w:r w:rsidR="00C938D1">
        <w:rPr>
          <w:rFonts w:ascii="Arial" w:hAnsi="Arial" w:cs="Arial"/>
          <w:sz w:val="24"/>
          <w:szCs w:val="24"/>
        </w:rPr>
        <w:t xml:space="preserve">woodlot licence </w:t>
      </w:r>
      <w:r w:rsidR="00BC6036">
        <w:rPr>
          <w:rFonts w:ascii="Arial" w:hAnsi="Arial" w:cs="Arial"/>
          <w:sz w:val="24"/>
          <w:szCs w:val="24"/>
        </w:rPr>
        <w:t xml:space="preserve">harvesting operations that are </w:t>
      </w:r>
      <w:r>
        <w:rPr>
          <w:rFonts w:ascii="Arial" w:hAnsi="Arial" w:cs="Arial"/>
          <w:sz w:val="24"/>
          <w:szCs w:val="24"/>
        </w:rPr>
        <w:t xml:space="preserve">usually </w:t>
      </w:r>
      <w:r w:rsidR="00BC6036">
        <w:rPr>
          <w:rFonts w:ascii="Arial" w:hAnsi="Arial" w:cs="Arial"/>
          <w:sz w:val="24"/>
          <w:szCs w:val="24"/>
        </w:rPr>
        <w:t>of short duration</w:t>
      </w:r>
      <w:r w:rsidR="0032011F">
        <w:rPr>
          <w:rFonts w:ascii="Arial" w:hAnsi="Arial" w:cs="Arial"/>
          <w:sz w:val="24"/>
          <w:szCs w:val="24"/>
        </w:rPr>
        <w:t>,</w:t>
      </w:r>
      <w:r w:rsidR="00034EA1">
        <w:rPr>
          <w:rFonts w:ascii="Arial" w:hAnsi="Arial" w:cs="Arial"/>
          <w:sz w:val="24"/>
          <w:szCs w:val="24"/>
        </w:rPr>
        <w:t xml:space="preserve"> cover a small area of forest land</w:t>
      </w:r>
      <w:r w:rsidR="00D008A1" w:rsidRPr="00D008A1">
        <w:rPr>
          <w:rFonts w:ascii="Arial" w:hAnsi="Arial" w:cs="Arial"/>
          <w:sz w:val="24"/>
          <w:szCs w:val="24"/>
        </w:rPr>
        <w:t xml:space="preserve"> </w:t>
      </w:r>
      <w:r w:rsidR="00D61D64">
        <w:rPr>
          <w:rFonts w:ascii="Arial" w:hAnsi="Arial" w:cs="Arial"/>
          <w:sz w:val="24"/>
          <w:szCs w:val="24"/>
        </w:rPr>
        <w:t>(</w:t>
      </w:r>
      <w:r w:rsidR="00C57305">
        <w:rPr>
          <w:rFonts w:ascii="Arial" w:hAnsi="Arial" w:cs="Arial"/>
          <w:sz w:val="24"/>
          <w:szCs w:val="24"/>
        </w:rPr>
        <w:t xml:space="preserve">e.g. </w:t>
      </w:r>
      <w:r w:rsidR="00D61D64">
        <w:rPr>
          <w:rFonts w:ascii="Arial" w:hAnsi="Arial" w:cs="Arial"/>
          <w:sz w:val="24"/>
          <w:szCs w:val="24"/>
        </w:rPr>
        <w:t>less than 25 hectares)</w:t>
      </w:r>
      <w:r w:rsidR="0032011F">
        <w:rPr>
          <w:rFonts w:ascii="Arial" w:hAnsi="Arial" w:cs="Arial"/>
          <w:sz w:val="24"/>
          <w:szCs w:val="24"/>
        </w:rPr>
        <w:t xml:space="preserve"> or consist of a small area being harvested slowly over a</w:t>
      </w:r>
      <w:r w:rsidR="00126819">
        <w:rPr>
          <w:rFonts w:ascii="Arial" w:hAnsi="Arial" w:cs="Arial"/>
          <w:sz w:val="24"/>
          <w:szCs w:val="24"/>
        </w:rPr>
        <w:t xml:space="preserve"> </w:t>
      </w:r>
      <w:r w:rsidR="0032011F">
        <w:rPr>
          <w:rFonts w:ascii="Arial" w:hAnsi="Arial" w:cs="Arial"/>
          <w:sz w:val="24"/>
          <w:szCs w:val="24"/>
        </w:rPr>
        <w:t>longer period of time using hand falling</w:t>
      </w:r>
      <w:r w:rsidR="00126819">
        <w:rPr>
          <w:rFonts w:ascii="Arial" w:hAnsi="Arial" w:cs="Arial"/>
          <w:sz w:val="24"/>
          <w:szCs w:val="24"/>
        </w:rPr>
        <w:t>, hand bucking</w:t>
      </w:r>
      <w:r w:rsidR="0032011F">
        <w:rPr>
          <w:rFonts w:ascii="Arial" w:hAnsi="Arial" w:cs="Arial"/>
          <w:sz w:val="24"/>
          <w:szCs w:val="24"/>
        </w:rPr>
        <w:t xml:space="preserve"> and non-mechanized harvesting equipment. </w:t>
      </w:r>
      <w:r w:rsidR="00BC6036">
        <w:rPr>
          <w:rFonts w:ascii="Arial" w:hAnsi="Arial" w:cs="Arial"/>
          <w:sz w:val="24"/>
          <w:szCs w:val="24"/>
        </w:rPr>
        <w:t xml:space="preserve"> </w:t>
      </w:r>
      <w:r w:rsidR="00C57305">
        <w:rPr>
          <w:rFonts w:ascii="Arial" w:hAnsi="Arial" w:cs="Arial"/>
          <w:sz w:val="24"/>
          <w:szCs w:val="24"/>
        </w:rPr>
        <w:t xml:space="preserve">For situations where harvesting is going to take longer than the applicable 3 or 6 month period </w:t>
      </w:r>
      <w:r w:rsidR="00F4030C">
        <w:rPr>
          <w:rFonts w:ascii="Arial" w:hAnsi="Arial" w:cs="Arial"/>
          <w:sz w:val="24"/>
          <w:szCs w:val="24"/>
        </w:rPr>
        <w:t>s</w:t>
      </w:r>
      <w:r w:rsidR="00F92E2A">
        <w:rPr>
          <w:rFonts w:ascii="Arial" w:hAnsi="Arial" w:cs="Arial"/>
          <w:sz w:val="24"/>
          <w:szCs w:val="24"/>
        </w:rPr>
        <w:t xml:space="preserve">ection 11(3.1) of the Wildfire Regulation allows a </w:t>
      </w:r>
      <w:r w:rsidR="008D226C" w:rsidRPr="00067267">
        <w:rPr>
          <w:rFonts w:ascii="Arial" w:hAnsi="Arial" w:cs="Arial"/>
          <w:sz w:val="24"/>
          <w:szCs w:val="24"/>
        </w:rPr>
        <w:t>qualified</w:t>
      </w:r>
      <w:r w:rsidR="008D226C">
        <w:rPr>
          <w:rFonts w:ascii="Arial" w:hAnsi="Arial" w:cs="Arial"/>
          <w:sz w:val="24"/>
          <w:szCs w:val="24"/>
        </w:rPr>
        <w:t xml:space="preserve"> </w:t>
      </w:r>
      <w:r w:rsidR="00F92E2A">
        <w:rPr>
          <w:rFonts w:ascii="Arial" w:hAnsi="Arial" w:cs="Arial"/>
          <w:sz w:val="24"/>
          <w:szCs w:val="24"/>
        </w:rPr>
        <w:t xml:space="preserve">forest </w:t>
      </w:r>
      <w:r w:rsidR="00F92E2A" w:rsidRPr="007E373A">
        <w:rPr>
          <w:rFonts w:ascii="Arial" w:hAnsi="Arial" w:cs="Arial"/>
          <w:sz w:val="24"/>
          <w:szCs w:val="24"/>
        </w:rPr>
        <w:t>professional</w:t>
      </w:r>
      <w:r w:rsidR="00F92E2A">
        <w:rPr>
          <w:rFonts w:ascii="Arial" w:hAnsi="Arial" w:cs="Arial"/>
          <w:sz w:val="24"/>
          <w:szCs w:val="24"/>
        </w:rPr>
        <w:t xml:space="preserve"> to </w:t>
      </w:r>
      <w:r w:rsidR="00DD542C">
        <w:rPr>
          <w:rFonts w:ascii="Arial" w:hAnsi="Arial" w:cs="Arial"/>
          <w:sz w:val="24"/>
          <w:szCs w:val="24"/>
        </w:rPr>
        <w:t>specify</w:t>
      </w:r>
      <w:r w:rsidR="00F92E2A">
        <w:rPr>
          <w:rFonts w:ascii="Arial" w:hAnsi="Arial" w:cs="Arial"/>
          <w:sz w:val="24"/>
          <w:szCs w:val="24"/>
        </w:rPr>
        <w:t xml:space="preserve"> the time interval between when the holder of a woodlot licence </w:t>
      </w:r>
      <w:r w:rsidR="00CC7BC1">
        <w:rPr>
          <w:rFonts w:ascii="Arial" w:hAnsi="Arial" w:cs="Arial"/>
          <w:sz w:val="24"/>
          <w:szCs w:val="24"/>
        </w:rPr>
        <w:t xml:space="preserve">must </w:t>
      </w:r>
      <w:r w:rsidR="00F92E2A">
        <w:rPr>
          <w:rFonts w:ascii="Arial" w:hAnsi="Arial" w:cs="Arial"/>
          <w:sz w:val="24"/>
          <w:szCs w:val="24"/>
        </w:rPr>
        <w:t>complete</w:t>
      </w:r>
      <w:r w:rsidR="00CC7BC1">
        <w:rPr>
          <w:rFonts w:ascii="Arial" w:hAnsi="Arial" w:cs="Arial"/>
          <w:sz w:val="24"/>
          <w:szCs w:val="24"/>
        </w:rPr>
        <w:t xml:space="preserve"> </w:t>
      </w:r>
      <w:r w:rsidR="00F92E2A">
        <w:rPr>
          <w:rFonts w:ascii="Arial" w:hAnsi="Arial" w:cs="Arial"/>
          <w:sz w:val="24"/>
          <w:szCs w:val="24"/>
        </w:rPr>
        <w:t>fire hazard assessments</w:t>
      </w:r>
      <w:r w:rsidR="00EF70F0">
        <w:rPr>
          <w:rFonts w:ascii="Arial" w:hAnsi="Arial" w:cs="Arial"/>
          <w:sz w:val="24"/>
          <w:szCs w:val="24"/>
        </w:rPr>
        <w:t xml:space="preserve">. </w:t>
      </w:r>
      <w:r>
        <w:rPr>
          <w:rFonts w:ascii="Arial" w:hAnsi="Arial" w:cs="Arial"/>
          <w:sz w:val="24"/>
          <w:szCs w:val="24"/>
        </w:rPr>
        <w:t>S</w:t>
      </w:r>
      <w:r w:rsidR="00034EA1">
        <w:rPr>
          <w:rFonts w:ascii="Arial" w:hAnsi="Arial" w:cs="Arial"/>
          <w:sz w:val="24"/>
          <w:szCs w:val="24"/>
        </w:rPr>
        <w:t xml:space="preserve">ection 11(3.1) of the Wildfire Regulation </w:t>
      </w:r>
      <w:r w:rsidR="00EF70F0">
        <w:rPr>
          <w:rFonts w:ascii="Arial" w:hAnsi="Arial" w:cs="Arial"/>
          <w:sz w:val="24"/>
          <w:szCs w:val="24"/>
        </w:rPr>
        <w:t>applies to</w:t>
      </w:r>
      <w:r w:rsidR="00F92E2A">
        <w:rPr>
          <w:rFonts w:ascii="Arial" w:hAnsi="Arial" w:cs="Arial"/>
          <w:sz w:val="24"/>
          <w:szCs w:val="24"/>
        </w:rPr>
        <w:t xml:space="preserve"> woodlot licen</w:t>
      </w:r>
      <w:r>
        <w:rPr>
          <w:rFonts w:ascii="Arial" w:hAnsi="Arial" w:cs="Arial"/>
          <w:sz w:val="24"/>
          <w:szCs w:val="24"/>
        </w:rPr>
        <w:t>s</w:t>
      </w:r>
      <w:r w:rsidR="00F92E2A">
        <w:rPr>
          <w:rFonts w:ascii="Arial" w:hAnsi="Arial" w:cs="Arial"/>
          <w:sz w:val="24"/>
          <w:szCs w:val="24"/>
        </w:rPr>
        <w:t>e</w:t>
      </w:r>
      <w:r>
        <w:rPr>
          <w:rFonts w:ascii="Arial" w:hAnsi="Arial" w:cs="Arial"/>
          <w:sz w:val="24"/>
          <w:szCs w:val="24"/>
        </w:rPr>
        <w:t>es and other licensees</w:t>
      </w:r>
      <w:r w:rsidR="00EF70F0">
        <w:rPr>
          <w:rFonts w:ascii="Arial" w:hAnsi="Arial" w:cs="Arial"/>
          <w:sz w:val="24"/>
          <w:szCs w:val="24"/>
        </w:rPr>
        <w:t xml:space="preserve"> who </w:t>
      </w:r>
      <w:r w:rsidR="007708B3">
        <w:rPr>
          <w:rFonts w:ascii="Arial" w:hAnsi="Arial" w:cs="Arial"/>
          <w:sz w:val="24"/>
          <w:szCs w:val="24"/>
        </w:rPr>
        <w:t xml:space="preserve">have paid </w:t>
      </w:r>
      <w:r w:rsidR="00EF70F0">
        <w:rPr>
          <w:rFonts w:ascii="Arial" w:hAnsi="Arial" w:cs="Arial"/>
          <w:sz w:val="24"/>
          <w:szCs w:val="24"/>
        </w:rPr>
        <w:t>the</w:t>
      </w:r>
      <w:r w:rsidR="007708B3">
        <w:rPr>
          <w:rFonts w:ascii="Arial" w:hAnsi="Arial" w:cs="Arial"/>
          <w:sz w:val="24"/>
          <w:szCs w:val="24"/>
        </w:rPr>
        <w:t>ir</w:t>
      </w:r>
      <w:r w:rsidR="00EF70F0">
        <w:rPr>
          <w:rFonts w:ascii="Arial" w:hAnsi="Arial" w:cs="Arial"/>
          <w:sz w:val="24"/>
          <w:szCs w:val="24"/>
        </w:rPr>
        <w:t xml:space="preserve"> </w:t>
      </w:r>
      <w:r w:rsidR="00F92E2A">
        <w:rPr>
          <w:rFonts w:ascii="Arial" w:hAnsi="Arial" w:cs="Arial"/>
          <w:sz w:val="24"/>
          <w:szCs w:val="24"/>
        </w:rPr>
        <w:t xml:space="preserve">annual rent for the </w:t>
      </w:r>
      <w:r w:rsidR="007708B3">
        <w:rPr>
          <w:rFonts w:ascii="Arial" w:hAnsi="Arial" w:cs="Arial"/>
          <w:sz w:val="24"/>
          <w:szCs w:val="24"/>
        </w:rPr>
        <w:t>year</w:t>
      </w:r>
      <w:r w:rsidR="00F92E2A">
        <w:rPr>
          <w:rFonts w:ascii="Arial" w:hAnsi="Arial" w:cs="Arial"/>
          <w:sz w:val="24"/>
          <w:szCs w:val="24"/>
        </w:rPr>
        <w:t xml:space="preserve">.  </w:t>
      </w:r>
    </w:p>
    <w:p w14:paraId="6B74DA6A" w14:textId="138EF56F" w:rsidR="00DC1ED1" w:rsidRDefault="00DD542C" w:rsidP="00C938EC">
      <w:pPr>
        <w:rPr>
          <w:rFonts w:ascii="Arial" w:hAnsi="Arial" w:cs="Arial"/>
          <w:sz w:val="24"/>
          <w:szCs w:val="24"/>
        </w:rPr>
      </w:pPr>
      <w:r>
        <w:rPr>
          <w:rFonts w:ascii="Arial" w:hAnsi="Arial" w:cs="Arial"/>
          <w:sz w:val="24"/>
          <w:szCs w:val="24"/>
        </w:rPr>
        <w:t>I</w:t>
      </w:r>
      <w:r w:rsidR="00126819">
        <w:rPr>
          <w:rFonts w:ascii="Arial" w:hAnsi="Arial" w:cs="Arial"/>
          <w:sz w:val="24"/>
          <w:szCs w:val="24"/>
        </w:rPr>
        <w:t>f</w:t>
      </w:r>
      <w:r>
        <w:rPr>
          <w:rFonts w:ascii="Arial" w:hAnsi="Arial" w:cs="Arial"/>
          <w:sz w:val="24"/>
          <w:szCs w:val="24"/>
        </w:rPr>
        <w:t xml:space="preserve">  a woodlot licen</w:t>
      </w:r>
      <w:r w:rsidR="00C57305">
        <w:rPr>
          <w:rFonts w:ascii="Arial" w:hAnsi="Arial" w:cs="Arial"/>
          <w:sz w:val="24"/>
          <w:szCs w:val="24"/>
        </w:rPr>
        <w:t>se</w:t>
      </w:r>
      <w:r>
        <w:rPr>
          <w:rFonts w:ascii="Arial" w:hAnsi="Arial" w:cs="Arial"/>
          <w:sz w:val="24"/>
          <w:szCs w:val="24"/>
        </w:rPr>
        <w:t xml:space="preserve">e </w:t>
      </w:r>
      <w:r w:rsidR="002A7932">
        <w:rPr>
          <w:rFonts w:ascii="Arial" w:hAnsi="Arial" w:cs="Arial"/>
          <w:sz w:val="24"/>
          <w:szCs w:val="24"/>
        </w:rPr>
        <w:t xml:space="preserve">has paid </w:t>
      </w:r>
      <w:r w:rsidR="00845250">
        <w:rPr>
          <w:rFonts w:ascii="Arial" w:hAnsi="Arial" w:cs="Arial"/>
          <w:sz w:val="24"/>
          <w:szCs w:val="24"/>
        </w:rPr>
        <w:t xml:space="preserve">their </w:t>
      </w:r>
      <w:r>
        <w:rPr>
          <w:rFonts w:ascii="Arial" w:hAnsi="Arial" w:cs="Arial"/>
          <w:sz w:val="24"/>
          <w:szCs w:val="24"/>
        </w:rPr>
        <w:t xml:space="preserve">annual rent </w:t>
      </w:r>
      <w:r w:rsidR="00C57305">
        <w:rPr>
          <w:rFonts w:ascii="Arial" w:hAnsi="Arial" w:cs="Arial"/>
          <w:sz w:val="24"/>
          <w:szCs w:val="24"/>
        </w:rPr>
        <w:t xml:space="preserve">for the year, a </w:t>
      </w:r>
      <w:r w:rsidR="00F4030C">
        <w:rPr>
          <w:rFonts w:ascii="Arial" w:hAnsi="Arial" w:cs="Arial"/>
          <w:sz w:val="24"/>
          <w:szCs w:val="24"/>
        </w:rPr>
        <w:t xml:space="preserve">local, </w:t>
      </w:r>
      <w:r w:rsidR="00C57305">
        <w:rPr>
          <w:rFonts w:ascii="Arial" w:hAnsi="Arial" w:cs="Arial"/>
          <w:sz w:val="24"/>
          <w:szCs w:val="24"/>
        </w:rPr>
        <w:t xml:space="preserve">qualified forest professional can assess the </w:t>
      </w:r>
      <w:proofErr w:type="gramStart"/>
      <w:r w:rsidR="00C57305">
        <w:rPr>
          <w:rFonts w:ascii="Arial" w:hAnsi="Arial" w:cs="Arial"/>
          <w:sz w:val="24"/>
          <w:szCs w:val="24"/>
        </w:rPr>
        <w:t>site specific</w:t>
      </w:r>
      <w:proofErr w:type="gramEnd"/>
      <w:r w:rsidR="00C57305">
        <w:rPr>
          <w:rFonts w:ascii="Arial" w:hAnsi="Arial" w:cs="Arial"/>
          <w:sz w:val="24"/>
          <w:szCs w:val="24"/>
        </w:rPr>
        <w:t xml:space="preserve"> </w:t>
      </w:r>
      <w:r w:rsidR="00126819">
        <w:rPr>
          <w:rFonts w:ascii="Arial" w:hAnsi="Arial" w:cs="Arial"/>
          <w:sz w:val="24"/>
          <w:szCs w:val="24"/>
        </w:rPr>
        <w:t>features of the harvest area and the associated values and risks.</w:t>
      </w:r>
      <w:r w:rsidR="00C57305">
        <w:rPr>
          <w:rFonts w:ascii="Arial" w:hAnsi="Arial" w:cs="Arial"/>
          <w:sz w:val="24"/>
          <w:szCs w:val="24"/>
        </w:rPr>
        <w:t xml:space="preserve"> </w:t>
      </w:r>
      <w:r w:rsidR="00126819">
        <w:rPr>
          <w:rFonts w:ascii="Arial" w:hAnsi="Arial" w:cs="Arial"/>
          <w:sz w:val="24"/>
          <w:szCs w:val="24"/>
        </w:rPr>
        <w:t xml:space="preserve">If this assessment indicates there are no unreasonable risks associated with </w:t>
      </w:r>
      <w:r w:rsidR="00F4030C">
        <w:rPr>
          <w:rFonts w:ascii="Arial" w:hAnsi="Arial" w:cs="Arial"/>
          <w:sz w:val="24"/>
          <w:szCs w:val="24"/>
        </w:rPr>
        <w:t>delaying</w:t>
      </w:r>
      <w:r w:rsidR="00126819">
        <w:rPr>
          <w:rFonts w:ascii="Arial" w:hAnsi="Arial" w:cs="Arial"/>
          <w:sz w:val="24"/>
          <w:szCs w:val="24"/>
        </w:rPr>
        <w:t xml:space="preserve"> the fire hazard assessment </w:t>
      </w:r>
      <w:r w:rsidR="00F4030C">
        <w:rPr>
          <w:rFonts w:ascii="Arial" w:hAnsi="Arial" w:cs="Arial"/>
          <w:sz w:val="24"/>
          <w:szCs w:val="24"/>
        </w:rPr>
        <w:t>until</w:t>
      </w:r>
      <w:r w:rsidR="00126819">
        <w:rPr>
          <w:rFonts w:ascii="Arial" w:hAnsi="Arial" w:cs="Arial"/>
          <w:sz w:val="24"/>
          <w:szCs w:val="24"/>
        </w:rPr>
        <w:t xml:space="preserve"> the completion of harvesting</w:t>
      </w:r>
      <w:r w:rsidR="003A3983">
        <w:rPr>
          <w:rFonts w:ascii="Arial" w:hAnsi="Arial" w:cs="Arial"/>
          <w:sz w:val="24"/>
          <w:szCs w:val="24"/>
        </w:rPr>
        <w:t>,</w:t>
      </w:r>
      <w:r w:rsidR="00126819">
        <w:rPr>
          <w:rFonts w:ascii="Arial" w:hAnsi="Arial" w:cs="Arial"/>
          <w:sz w:val="24"/>
          <w:szCs w:val="24"/>
        </w:rPr>
        <w:t xml:space="preserve"> the forest professional </w:t>
      </w:r>
      <w:r w:rsidR="00C57305">
        <w:rPr>
          <w:rFonts w:ascii="Arial" w:hAnsi="Arial" w:cs="Arial"/>
          <w:sz w:val="24"/>
          <w:szCs w:val="24"/>
        </w:rPr>
        <w:t xml:space="preserve">can </w:t>
      </w:r>
      <w:r w:rsidR="00126819">
        <w:rPr>
          <w:rFonts w:ascii="Arial" w:hAnsi="Arial" w:cs="Arial"/>
          <w:sz w:val="24"/>
          <w:szCs w:val="24"/>
        </w:rPr>
        <w:t xml:space="preserve">provide a signed and sealed document specifying under section 11(3) of the Wildfire Regulation that </w:t>
      </w:r>
      <w:r>
        <w:rPr>
          <w:rFonts w:ascii="Arial" w:hAnsi="Arial" w:cs="Arial"/>
          <w:sz w:val="24"/>
          <w:szCs w:val="24"/>
        </w:rPr>
        <w:t xml:space="preserve">only </w:t>
      </w:r>
      <w:r w:rsidR="0032011F">
        <w:rPr>
          <w:rFonts w:ascii="Arial" w:hAnsi="Arial" w:cs="Arial"/>
          <w:sz w:val="24"/>
          <w:szCs w:val="24"/>
        </w:rPr>
        <w:t xml:space="preserve">one </w:t>
      </w:r>
      <w:r w:rsidR="006419B7">
        <w:rPr>
          <w:rFonts w:ascii="Arial" w:hAnsi="Arial" w:cs="Arial"/>
          <w:sz w:val="24"/>
          <w:szCs w:val="24"/>
        </w:rPr>
        <w:t>fire</w:t>
      </w:r>
      <w:r>
        <w:rPr>
          <w:rFonts w:ascii="Arial" w:hAnsi="Arial" w:cs="Arial"/>
          <w:sz w:val="24"/>
          <w:szCs w:val="24"/>
        </w:rPr>
        <w:t xml:space="preserve"> hazard assessment </w:t>
      </w:r>
      <w:r w:rsidR="00B26A9C">
        <w:rPr>
          <w:rFonts w:ascii="Arial" w:hAnsi="Arial" w:cs="Arial"/>
          <w:sz w:val="24"/>
          <w:szCs w:val="24"/>
        </w:rPr>
        <w:t>n</w:t>
      </w:r>
      <w:r w:rsidR="00F4030C">
        <w:rPr>
          <w:rFonts w:ascii="Arial" w:hAnsi="Arial" w:cs="Arial"/>
          <w:sz w:val="24"/>
          <w:szCs w:val="24"/>
        </w:rPr>
        <w:t xml:space="preserve">eeds to be completed at the </w:t>
      </w:r>
      <w:r w:rsidR="00F4030C" w:rsidRPr="002556F5">
        <w:rPr>
          <w:rFonts w:ascii="Arial" w:hAnsi="Arial" w:cs="Arial"/>
          <w:b/>
          <w:sz w:val="24"/>
          <w:szCs w:val="24"/>
        </w:rPr>
        <w:t>conclusion of harvesting</w:t>
      </w:r>
      <w:r w:rsidR="00F4030C">
        <w:rPr>
          <w:rFonts w:ascii="Arial" w:hAnsi="Arial" w:cs="Arial"/>
          <w:sz w:val="24"/>
          <w:szCs w:val="24"/>
        </w:rPr>
        <w:t xml:space="preserve">. </w:t>
      </w:r>
      <w:r w:rsidR="00DC1ED1">
        <w:rPr>
          <w:rFonts w:ascii="Arial" w:hAnsi="Arial" w:cs="Arial"/>
          <w:sz w:val="24"/>
          <w:szCs w:val="24"/>
        </w:rPr>
        <w:t xml:space="preserve">To be consistent with the wording of section 11(3.1) of the Woodlot Licence Regulation the document could say that the </w:t>
      </w:r>
      <w:r w:rsidR="00DC1ED1">
        <w:rPr>
          <w:rFonts w:ascii="Arial" w:hAnsi="Arial" w:cs="Arial"/>
          <w:sz w:val="24"/>
          <w:szCs w:val="24"/>
        </w:rPr>
        <w:lastRenderedPageBreak/>
        <w:t xml:space="preserve">specified interval is from the commencement to the </w:t>
      </w:r>
      <w:r w:rsidR="00DC1ED1" w:rsidRPr="002556F5">
        <w:rPr>
          <w:rFonts w:ascii="Arial" w:hAnsi="Arial" w:cs="Arial"/>
          <w:b/>
          <w:sz w:val="24"/>
          <w:szCs w:val="24"/>
        </w:rPr>
        <w:t>conclusion of harvesting</w:t>
      </w:r>
      <w:r w:rsidR="00DC1ED1">
        <w:rPr>
          <w:rFonts w:ascii="Arial" w:hAnsi="Arial" w:cs="Arial"/>
          <w:sz w:val="24"/>
          <w:szCs w:val="24"/>
        </w:rPr>
        <w:t xml:space="preserve"> on the area (and possibly specify the applicable dates).</w:t>
      </w:r>
      <w:r w:rsidR="00405474">
        <w:rPr>
          <w:rFonts w:ascii="Arial" w:hAnsi="Arial" w:cs="Arial"/>
          <w:sz w:val="24"/>
          <w:szCs w:val="24"/>
        </w:rPr>
        <w:t xml:space="preserve">  Where a licensee knows that they will be harvesting for longer than the applicable 3 or 6 month period they should get the forest professional to provide them with this document before they are in non-compliance with the Wildfire Regulation</w:t>
      </w:r>
      <w:r w:rsidR="003A3983">
        <w:rPr>
          <w:rFonts w:ascii="Arial" w:hAnsi="Arial" w:cs="Arial"/>
          <w:sz w:val="24"/>
          <w:szCs w:val="24"/>
        </w:rPr>
        <w:t xml:space="preserve"> for completion of fire hazard assessments</w:t>
      </w:r>
      <w:r w:rsidR="00405474">
        <w:rPr>
          <w:rFonts w:ascii="Arial" w:hAnsi="Arial" w:cs="Arial"/>
          <w:sz w:val="24"/>
          <w:szCs w:val="24"/>
        </w:rPr>
        <w:t xml:space="preserve">. </w:t>
      </w:r>
    </w:p>
    <w:p w14:paraId="29023B1F" w14:textId="589DAC23" w:rsidR="00C938D1" w:rsidRDefault="00DC1ED1" w:rsidP="00C938EC">
      <w:pPr>
        <w:rPr>
          <w:rFonts w:ascii="Arial" w:hAnsi="Arial" w:cs="Arial"/>
          <w:sz w:val="24"/>
          <w:szCs w:val="24"/>
        </w:rPr>
      </w:pPr>
      <w:r>
        <w:rPr>
          <w:rFonts w:ascii="Arial" w:hAnsi="Arial" w:cs="Arial"/>
          <w:sz w:val="24"/>
          <w:szCs w:val="24"/>
        </w:rPr>
        <w:t xml:space="preserve">The </w:t>
      </w:r>
      <w:r w:rsidRPr="002556F5">
        <w:rPr>
          <w:rFonts w:ascii="Arial" w:hAnsi="Arial" w:cs="Arial"/>
          <w:b/>
          <w:sz w:val="24"/>
          <w:szCs w:val="24"/>
        </w:rPr>
        <w:t>conclusion of harvesting</w:t>
      </w:r>
      <w:r>
        <w:rPr>
          <w:rFonts w:ascii="Arial" w:hAnsi="Arial" w:cs="Arial"/>
          <w:sz w:val="24"/>
          <w:szCs w:val="24"/>
        </w:rPr>
        <w:t xml:space="preserve"> would coincide</w:t>
      </w:r>
      <w:r w:rsidRPr="00DC1ED1">
        <w:rPr>
          <w:rFonts w:ascii="Arial" w:hAnsi="Arial" w:cs="Arial"/>
          <w:sz w:val="24"/>
          <w:szCs w:val="24"/>
        </w:rPr>
        <w:t xml:space="preserve"> </w:t>
      </w:r>
      <w:r>
        <w:rPr>
          <w:rFonts w:ascii="Arial" w:hAnsi="Arial" w:cs="Arial"/>
          <w:sz w:val="24"/>
          <w:szCs w:val="24"/>
        </w:rPr>
        <w:t xml:space="preserve">with </w:t>
      </w:r>
      <w:r w:rsidR="00B26A9C">
        <w:rPr>
          <w:rFonts w:ascii="Arial" w:hAnsi="Arial" w:cs="Arial"/>
          <w:sz w:val="24"/>
          <w:szCs w:val="24"/>
        </w:rPr>
        <w:t xml:space="preserve">when </w:t>
      </w:r>
      <w:r w:rsidR="006419B7">
        <w:rPr>
          <w:rFonts w:ascii="Arial" w:hAnsi="Arial" w:cs="Arial"/>
          <w:sz w:val="24"/>
          <w:szCs w:val="24"/>
        </w:rPr>
        <w:t xml:space="preserve">falling, </w:t>
      </w:r>
      <w:r w:rsidR="00DD542C">
        <w:rPr>
          <w:rFonts w:ascii="Arial" w:hAnsi="Arial" w:cs="Arial"/>
          <w:sz w:val="24"/>
          <w:szCs w:val="24"/>
        </w:rPr>
        <w:t xml:space="preserve">yarding, </w:t>
      </w:r>
      <w:r w:rsidR="006A4081">
        <w:rPr>
          <w:rFonts w:ascii="Arial" w:hAnsi="Arial" w:cs="Arial"/>
          <w:sz w:val="24"/>
          <w:szCs w:val="24"/>
        </w:rPr>
        <w:t>and skidding</w:t>
      </w:r>
      <w:r w:rsidR="00DD542C">
        <w:rPr>
          <w:rFonts w:ascii="Arial" w:hAnsi="Arial" w:cs="Arial"/>
          <w:sz w:val="24"/>
          <w:szCs w:val="24"/>
        </w:rPr>
        <w:t xml:space="preserve"> or forwarding of timber </w:t>
      </w:r>
      <w:r w:rsidR="00E61A80">
        <w:rPr>
          <w:rFonts w:ascii="Arial" w:hAnsi="Arial" w:cs="Arial"/>
          <w:sz w:val="24"/>
          <w:szCs w:val="24"/>
        </w:rPr>
        <w:t>to roadsides or landings</w:t>
      </w:r>
      <w:r w:rsidR="00E61A80" w:rsidRPr="00DC1ED1">
        <w:rPr>
          <w:rFonts w:ascii="Arial" w:hAnsi="Arial" w:cs="Arial"/>
          <w:sz w:val="24"/>
          <w:szCs w:val="24"/>
        </w:rPr>
        <w:t xml:space="preserve"> </w:t>
      </w:r>
      <w:r w:rsidR="00E61A80">
        <w:rPr>
          <w:rFonts w:ascii="Arial" w:hAnsi="Arial" w:cs="Arial"/>
          <w:sz w:val="24"/>
          <w:szCs w:val="24"/>
        </w:rPr>
        <w:t xml:space="preserve">is finished </w:t>
      </w:r>
      <w:r w:rsidR="00DD542C">
        <w:rPr>
          <w:rFonts w:ascii="Arial" w:hAnsi="Arial" w:cs="Arial"/>
          <w:sz w:val="24"/>
          <w:szCs w:val="24"/>
        </w:rPr>
        <w:t>on a harvest area</w:t>
      </w:r>
      <w:r w:rsidR="00E61A80">
        <w:rPr>
          <w:rFonts w:ascii="Arial" w:hAnsi="Arial" w:cs="Arial"/>
          <w:sz w:val="24"/>
          <w:szCs w:val="24"/>
        </w:rPr>
        <w:t>;</w:t>
      </w:r>
      <w:r w:rsidR="00DD542C">
        <w:rPr>
          <w:rFonts w:ascii="Arial" w:hAnsi="Arial" w:cs="Arial"/>
          <w:sz w:val="24"/>
          <w:szCs w:val="24"/>
        </w:rPr>
        <w:t xml:space="preserve"> </w:t>
      </w:r>
      <w:r w:rsidR="00E61A80">
        <w:rPr>
          <w:rFonts w:ascii="Arial" w:hAnsi="Arial" w:cs="Arial"/>
          <w:sz w:val="24"/>
          <w:szCs w:val="24"/>
        </w:rPr>
        <w:t>regardless of if some timber remains to be loaded out and hauled from the area</w:t>
      </w:r>
      <w:r w:rsidR="002F71B1">
        <w:rPr>
          <w:rFonts w:ascii="Arial" w:hAnsi="Arial" w:cs="Arial"/>
          <w:sz w:val="24"/>
          <w:szCs w:val="24"/>
        </w:rPr>
        <w:t xml:space="preserve">.  </w:t>
      </w:r>
      <w:r w:rsidR="000E16E5">
        <w:rPr>
          <w:rFonts w:ascii="Arial" w:hAnsi="Arial" w:cs="Arial"/>
          <w:sz w:val="24"/>
          <w:szCs w:val="24"/>
        </w:rPr>
        <w:t xml:space="preserve">This definition of </w:t>
      </w:r>
      <w:r w:rsidR="000E16E5" w:rsidRPr="002556F5">
        <w:rPr>
          <w:rFonts w:ascii="Arial" w:hAnsi="Arial" w:cs="Arial"/>
          <w:b/>
          <w:sz w:val="24"/>
          <w:szCs w:val="24"/>
        </w:rPr>
        <w:t>conclusion of harvesting</w:t>
      </w:r>
      <w:r w:rsidR="000E16E5">
        <w:rPr>
          <w:rFonts w:ascii="Arial" w:hAnsi="Arial" w:cs="Arial"/>
          <w:sz w:val="24"/>
          <w:szCs w:val="24"/>
        </w:rPr>
        <w:t xml:space="preserve"> would coincide with the logical first opportunity for a woodlot licensee who is operating in good faith to efficiently complete a single fire hazard assessment.  </w:t>
      </w:r>
      <w:r w:rsidR="002F71B1">
        <w:rPr>
          <w:rFonts w:ascii="Arial" w:hAnsi="Arial" w:cs="Arial"/>
          <w:sz w:val="24"/>
          <w:szCs w:val="24"/>
        </w:rPr>
        <w:t>If</w:t>
      </w:r>
      <w:r w:rsidR="00B26A9C">
        <w:rPr>
          <w:rFonts w:ascii="Arial" w:hAnsi="Arial" w:cs="Arial"/>
          <w:sz w:val="24"/>
          <w:szCs w:val="24"/>
        </w:rPr>
        <w:t xml:space="preserve"> </w:t>
      </w:r>
      <w:r w:rsidR="000E16E5">
        <w:rPr>
          <w:rFonts w:ascii="Arial" w:hAnsi="Arial" w:cs="Arial"/>
          <w:sz w:val="24"/>
          <w:szCs w:val="24"/>
        </w:rPr>
        <w:t xml:space="preserve">after harvesting </w:t>
      </w:r>
      <w:r w:rsidR="000D4A1A">
        <w:rPr>
          <w:rFonts w:ascii="Arial" w:hAnsi="Arial" w:cs="Arial"/>
          <w:sz w:val="24"/>
          <w:szCs w:val="24"/>
        </w:rPr>
        <w:t xml:space="preserve">a </w:t>
      </w:r>
      <w:r w:rsidR="000E16E5">
        <w:rPr>
          <w:rFonts w:ascii="Arial" w:hAnsi="Arial" w:cs="Arial"/>
          <w:sz w:val="24"/>
          <w:szCs w:val="24"/>
        </w:rPr>
        <w:t xml:space="preserve">sufficient area to create or increase the fire hazard, </w:t>
      </w:r>
      <w:r w:rsidR="00B26A9C">
        <w:rPr>
          <w:rFonts w:ascii="Arial" w:hAnsi="Arial" w:cs="Arial"/>
          <w:sz w:val="24"/>
          <w:szCs w:val="24"/>
        </w:rPr>
        <w:t>harvesting activities</w:t>
      </w:r>
      <w:r w:rsidR="00DD542C">
        <w:rPr>
          <w:rFonts w:ascii="Arial" w:hAnsi="Arial" w:cs="Arial"/>
          <w:sz w:val="24"/>
          <w:szCs w:val="24"/>
        </w:rPr>
        <w:t xml:space="preserve"> </w:t>
      </w:r>
      <w:r w:rsidR="00B26A9C">
        <w:rPr>
          <w:rFonts w:ascii="Arial" w:hAnsi="Arial" w:cs="Arial"/>
          <w:sz w:val="24"/>
          <w:szCs w:val="24"/>
        </w:rPr>
        <w:t>a</w:t>
      </w:r>
      <w:r w:rsidR="00611F5C">
        <w:rPr>
          <w:rFonts w:ascii="Arial" w:hAnsi="Arial" w:cs="Arial"/>
          <w:sz w:val="24"/>
          <w:szCs w:val="24"/>
        </w:rPr>
        <w:t>r</w:t>
      </w:r>
      <w:r w:rsidR="00B26A9C">
        <w:rPr>
          <w:rFonts w:ascii="Arial" w:hAnsi="Arial" w:cs="Arial"/>
          <w:sz w:val="24"/>
          <w:szCs w:val="24"/>
        </w:rPr>
        <w:t>e</w:t>
      </w:r>
      <w:r w:rsidR="00611F5C">
        <w:rPr>
          <w:rFonts w:ascii="Arial" w:hAnsi="Arial" w:cs="Arial"/>
          <w:sz w:val="24"/>
          <w:szCs w:val="24"/>
        </w:rPr>
        <w:t xml:space="preserve"> terminated </w:t>
      </w:r>
      <w:r w:rsidR="006C0961">
        <w:rPr>
          <w:rFonts w:ascii="Arial" w:hAnsi="Arial" w:cs="Arial"/>
          <w:sz w:val="24"/>
          <w:szCs w:val="24"/>
        </w:rPr>
        <w:t xml:space="preserve">on the harvest area </w:t>
      </w:r>
      <w:r w:rsidR="008D226C">
        <w:rPr>
          <w:rFonts w:ascii="Arial" w:hAnsi="Arial" w:cs="Arial"/>
          <w:sz w:val="24"/>
          <w:szCs w:val="24"/>
        </w:rPr>
        <w:t xml:space="preserve">for </w:t>
      </w:r>
      <w:r w:rsidR="000E16E5">
        <w:rPr>
          <w:rFonts w:ascii="Arial" w:hAnsi="Arial" w:cs="Arial"/>
          <w:sz w:val="24"/>
          <w:szCs w:val="24"/>
        </w:rPr>
        <w:t xml:space="preserve">an indefinite period of time or </w:t>
      </w:r>
      <w:r w:rsidR="008D226C">
        <w:rPr>
          <w:rFonts w:ascii="Arial" w:hAnsi="Arial" w:cs="Arial"/>
          <w:sz w:val="24"/>
          <w:szCs w:val="24"/>
        </w:rPr>
        <w:t xml:space="preserve">more than 3 months </w:t>
      </w:r>
      <w:r w:rsidR="00611F5C">
        <w:rPr>
          <w:rFonts w:ascii="Arial" w:hAnsi="Arial" w:cs="Arial"/>
          <w:sz w:val="24"/>
          <w:szCs w:val="24"/>
        </w:rPr>
        <w:t xml:space="preserve">due to weather conditions </w:t>
      </w:r>
      <w:r w:rsidR="00B26A9C">
        <w:rPr>
          <w:rFonts w:ascii="Arial" w:hAnsi="Arial" w:cs="Arial"/>
          <w:sz w:val="24"/>
          <w:szCs w:val="24"/>
        </w:rPr>
        <w:t>(i.e. spring break up in the interior</w:t>
      </w:r>
      <w:r w:rsidR="002F71B1">
        <w:rPr>
          <w:rFonts w:ascii="Arial" w:hAnsi="Arial" w:cs="Arial"/>
          <w:sz w:val="24"/>
          <w:szCs w:val="24"/>
        </w:rPr>
        <w:t>, extreme fire hazard or the log purchaser not accepting additional timber</w:t>
      </w:r>
      <w:r w:rsidR="00B0566B">
        <w:rPr>
          <w:rFonts w:ascii="Arial" w:hAnsi="Arial" w:cs="Arial"/>
          <w:sz w:val="24"/>
          <w:szCs w:val="24"/>
        </w:rPr>
        <w:t xml:space="preserve"> deliveries</w:t>
      </w:r>
      <w:r w:rsidR="00B26A9C">
        <w:rPr>
          <w:rFonts w:ascii="Arial" w:hAnsi="Arial" w:cs="Arial"/>
          <w:sz w:val="24"/>
          <w:szCs w:val="24"/>
        </w:rPr>
        <w:t xml:space="preserve">), </w:t>
      </w:r>
      <w:r w:rsidR="006419B7">
        <w:rPr>
          <w:rFonts w:ascii="Arial" w:hAnsi="Arial" w:cs="Arial"/>
          <w:sz w:val="24"/>
          <w:szCs w:val="24"/>
        </w:rPr>
        <w:t xml:space="preserve">the woodlot licensee should complete a fire hazard assessment on the partially completed harvest area </w:t>
      </w:r>
      <w:r w:rsidR="000D4A1A">
        <w:rPr>
          <w:rFonts w:ascii="Arial" w:hAnsi="Arial" w:cs="Arial"/>
          <w:sz w:val="24"/>
          <w:szCs w:val="24"/>
        </w:rPr>
        <w:t>in accordance with the applicable 3 or 6 month timeline in the Wildfire Regulation. The woodlot licensee should then</w:t>
      </w:r>
      <w:r w:rsidR="006C0961">
        <w:rPr>
          <w:rFonts w:ascii="Arial" w:hAnsi="Arial" w:cs="Arial"/>
          <w:sz w:val="24"/>
          <w:szCs w:val="24"/>
        </w:rPr>
        <w:t xml:space="preserve"> </w:t>
      </w:r>
      <w:r w:rsidR="006419B7">
        <w:rPr>
          <w:rFonts w:ascii="Arial" w:hAnsi="Arial" w:cs="Arial"/>
          <w:sz w:val="24"/>
          <w:szCs w:val="24"/>
        </w:rPr>
        <w:t xml:space="preserve">carry out any fire hazard abatement treatments </w:t>
      </w:r>
      <w:r w:rsidR="008D226C">
        <w:rPr>
          <w:rFonts w:ascii="Arial" w:hAnsi="Arial" w:cs="Arial"/>
          <w:sz w:val="24"/>
          <w:szCs w:val="24"/>
        </w:rPr>
        <w:t xml:space="preserve">as soon as they </w:t>
      </w:r>
      <w:r w:rsidR="006419B7">
        <w:rPr>
          <w:rFonts w:ascii="Arial" w:hAnsi="Arial" w:cs="Arial"/>
          <w:sz w:val="24"/>
          <w:szCs w:val="24"/>
        </w:rPr>
        <w:t xml:space="preserve"> can be </w:t>
      </w:r>
      <w:r w:rsidR="00B0566B">
        <w:rPr>
          <w:rFonts w:ascii="Arial" w:hAnsi="Arial" w:cs="Arial"/>
          <w:sz w:val="24"/>
          <w:szCs w:val="24"/>
        </w:rPr>
        <w:t xml:space="preserve">legally and </w:t>
      </w:r>
      <w:r w:rsidR="006419B7">
        <w:rPr>
          <w:rFonts w:ascii="Arial" w:hAnsi="Arial" w:cs="Arial"/>
          <w:sz w:val="24"/>
          <w:szCs w:val="24"/>
        </w:rPr>
        <w:t xml:space="preserve">safely carried out. </w:t>
      </w:r>
      <w:r w:rsidR="00F92E2A">
        <w:rPr>
          <w:rFonts w:ascii="Arial" w:hAnsi="Arial" w:cs="Arial"/>
          <w:sz w:val="24"/>
          <w:szCs w:val="24"/>
        </w:rPr>
        <w:t xml:space="preserve"> </w:t>
      </w:r>
    </w:p>
    <w:p w14:paraId="55A2E4A9" w14:textId="77777777" w:rsidR="00A87B8E" w:rsidRPr="00A87B8E" w:rsidRDefault="00A87B8E" w:rsidP="00A87B8E">
      <w:pPr>
        <w:spacing w:after="40"/>
        <w:rPr>
          <w:rFonts w:ascii="Arial" w:hAnsi="Arial" w:cs="Arial"/>
          <w:b/>
          <w:sz w:val="24"/>
          <w:szCs w:val="24"/>
        </w:rPr>
      </w:pPr>
      <w:r w:rsidRPr="00A87B8E">
        <w:rPr>
          <w:rFonts w:ascii="Arial" w:hAnsi="Arial" w:cs="Arial"/>
          <w:b/>
          <w:sz w:val="24"/>
          <w:szCs w:val="24"/>
        </w:rPr>
        <w:t>A Fire Hazard Assessment Procedure Recommended by a Forest Professional</w:t>
      </w:r>
    </w:p>
    <w:p w14:paraId="652AFD69" w14:textId="36CD0AC3" w:rsidR="009E503C" w:rsidRDefault="00C938D1" w:rsidP="00C938EC">
      <w:pPr>
        <w:rPr>
          <w:rFonts w:ascii="Arial" w:hAnsi="Arial" w:cs="Arial"/>
          <w:sz w:val="24"/>
          <w:szCs w:val="24"/>
        </w:rPr>
      </w:pPr>
      <w:r>
        <w:rPr>
          <w:rFonts w:ascii="Arial" w:hAnsi="Arial" w:cs="Arial"/>
          <w:sz w:val="24"/>
          <w:szCs w:val="24"/>
        </w:rPr>
        <w:t>T</w:t>
      </w:r>
      <w:r w:rsidR="00E03409">
        <w:rPr>
          <w:rFonts w:ascii="Arial" w:hAnsi="Arial" w:cs="Arial"/>
          <w:sz w:val="24"/>
          <w:szCs w:val="24"/>
        </w:rPr>
        <w:t xml:space="preserve">he </w:t>
      </w:r>
      <w:r w:rsidR="00E03409" w:rsidRPr="00AF477E">
        <w:rPr>
          <w:rFonts w:ascii="Arial" w:hAnsi="Arial" w:cs="Arial"/>
          <w:sz w:val="24"/>
          <w:szCs w:val="24"/>
        </w:rPr>
        <w:t>BC Wildfire Service 2012 publication “</w:t>
      </w:r>
      <w:r w:rsidR="00E03409" w:rsidRPr="001665E5">
        <w:rPr>
          <w:rFonts w:ascii="Arial" w:hAnsi="Arial" w:cs="Arial"/>
          <w:sz w:val="24"/>
          <w:szCs w:val="24"/>
        </w:rPr>
        <w:t xml:space="preserve">A Guide to </w:t>
      </w:r>
      <w:r w:rsidR="000D4A1A" w:rsidRPr="001665E5">
        <w:rPr>
          <w:rFonts w:ascii="Arial" w:hAnsi="Arial" w:cs="Arial"/>
          <w:sz w:val="24"/>
          <w:szCs w:val="24"/>
        </w:rPr>
        <w:t>F</w:t>
      </w:r>
      <w:r w:rsidR="000D4A1A">
        <w:rPr>
          <w:rFonts w:ascii="Arial" w:hAnsi="Arial" w:cs="Arial"/>
          <w:sz w:val="24"/>
          <w:szCs w:val="24"/>
        </w:rPr>
        <w:t>u</w:t>
      </w:r>
      <w:r w:rsidR="000D4A1A" w:rsidRPr="001665E5">
        <w:rPr>
          <w:rFonts w:ascii="Arial" w:hAnsi="Arial" w:cs="Arial"/>
          <w:sz w:val="24"/>
          <w:szCs w:val="24"/>
        </w:rPr>
        <w:t>e</w:t>
      </w:r>
      <w:r w:rsidR="000D4A1A">
        <w:rPr>
          <w:rFonts w:ascii="Arial" w:hAnsi="Arial" w:cs="Arial"/>
          <w:sz w:val="24"/>
          <w:szCs w:val="24"/>
        </w:rPr>
        <w:t>l</w:t>
      </w:r>
      <w:r w:rsidR="000D4A1A" w:rsidRPr="001665E5">
        <w:rPr>
          <w:rFonts w:ascii="Arial" w:hAnsi="Arial" w:cs="Arial"/>
          <w:sz w:val="24"/>
          <w:szCs w:val="24"/>
        </w:rPr>
        <w:t xml:space="preserve"> </w:t>
      </w:r>
      <w:r w:rsidR="00E03409" w:rsidRPr="001665E5">
        <w:rPr>
          <w:rFonts w:ascii="Arial" w:hAnsi="Arial" w:cs="Arial"/>
          <w:sz w:val="24"/>
          <w:szCs w:val="24"/>
        </w:rPr>
        <w:t>Hazard Assessment and Abatement in BC</w:t>
      </w:r>
      <w:r w:rsidR="00E03409" w:rsidRPr="00AF477E">
        <w:rPr>
          <w:rFonts w:ascii="Arial" w:hAnsi="Arial" w:cs="Arial"/>
          <w:sz w:val="24"/>
          <w:szCs w:val="24"/>
        </w:rPr>
        <w:t xml:space="preserve">” </w:t>
      </w:r>
      <w:r w:rsidR="00E03409">
        <w:rPr>
          <w:rFonts w:ascii="Arial" w:hAnsi="Arial" w:cs="Arial"/>
          <w:sz w:val="24"/>
          <w:szCs w:val="24"/>
        </w:rPr>
        <w:t>(</w:t>
      </w:r>
      <w:hyperlink r:id="rId9" w:history="1">
        <w:r w:rsidR="00E03409" w:rsidRPr="00B53B55">
          <w:rPr>
            <w:rStyle w:val="Hyperlink"/>
            <w:sz w:val="24"/>
            <w:szCs w:val="24"/>
          </w:rPr>
          <w:t>Guide</w:t>
        </w:r>
      </w:hyperlink>
      <w:r w:rsidR="00E03409" w:rsidRPr="00C877BE">
        <w:rPr>
          <w:rStyle w:val="Hyperlink"/>
          <w:color w:val="auto"/>
          <w:u w:val="none"/>
        </w:rPr>
        <w:t>)</w:t>
      </w:r>
      <w:r w:rsidR="00E03409" w:rsidRPr="00232124">
        <w:rPr>
          <w:rStyle w:val="Hyperlink"/>
          <w:u w:val="none"/>
        </w:rPr>
        <w:t xml:space="preserve"> </w:t>
      </w:r>
      <w:r w:rsidR="00E2595E">
        <w:rPr>
          <w:rFonts w:ascii="Arial" w:hAnsi="Arial" w:cs="Arial"/>
          <w:sz w:val="24"/>
          <w:szCs w:val="24"/>
        </w:rPr>
        <w:t xml:space="preserve">provides </w:t>
      </w:r>
      <w:r w:rsidR="00034EA1">
        <w:rPr>
          <w:rFonts w:ascii="Arial" w:hAnsi="Arial" w:cs="Arial"/>
          <w:sz w:val="24"/>
          <w:szCs w:val="24"/>
        </w:rPr>
        <w:t xml:space="preserve">a </w:t>
      </w:r>
      <w:r w:rsidR="00E2595E">
        <w:rPr>
          <w:rFonts w:ascii="Arial" w:hAnsi="Arial" w:cs="Arial"/>
          <w:sz w:val="24"/>
          <w:szCs w:val="24"/>
        </w:rPr>
        <w:t xml:space="preserve">generalized </w:t>
      </w:r>
      <w:r>
        <w:rPr>
          <w:rFonts w:ascii="Arial" w:hAnsi="Arial" w:cs="Arial"/>
          <w:sz w:val="24"/>
          <w:szCs w:val="24"/>
        </w:rPr>
        <w:t>methodology</w:t>
      </w:r>
      <w:r w:rsidR="00E2595E">
        <w:rPr>
          <w:rFonts w:ascii="Arial" w:hAnsi="Arial" w:cs="Arial"/>
          <w:sz w:val="24"/>
          <w:szCs w:val="24"/>
        </w:rPr>
        <w:t xml:space="preserve"> or default procedure</w:t>
      </w:r>
      <w:r>
        <w:rPr>
          <w:rFonts w:ascii="Arial" w:hAnsi="Arial" w:cs="Arial"/>
          <w:sz w:val="24"/>
          <w:szCs w:val="24"/>
        </w:rPr>
        <w:t xml:space="preserve"> for completing a fire hazard assessment but it also </w:t>
      </w:r>
      <w:r w:rsidR="00034EA1">
        <w:rPr>
          <w:rFonts w:ascii="Arial" w:hAnsi="Arial" w:cs="Arial"/>
          <w:sz w:val="24"/>
          <w:szCs w:val="24"/>
        </w:rPr>
        <w:t xml:space="preserve">states that woodlot licence holders who are not in arrears in the payment of annual rent for their woodlot licence(s) </w:t>
      </w:r>
      <w:r w:rsidR="00EF508A">
        <w:rPr>
          <w:rFonts w:ascii="Arial" w:hAnsi="Arial" w:cs="Arial"/>
          <w:sz w:val="24"/>
          <w:szCs w:val="24"/>
        </w:rPr>
        <w:t>“</w:t>
      </w:r>
      <w:r w:rsidR="00034EA1" w:rsidRPr="00EF508A">
        <w:rPr>
          <w:rFonts w:ascii="Arial" w:hAnsi="Arial" w:cs="Arial"/>
          <w:b/>
          <w:sz w:val="24"/>
          <w:szCs w:val="24"/>
        </w:rPr>
        <w:t>may follow a strategy, procedure, or recommendation developed by a forest professional.</w:t>
      </w:r>
      <w:r w:rsidR="00EF508A">
        <w:rPr>
          <w:rFonts w:ascii="Arial" w:hAnsi="Arial" w:cs="Arial"/>
          <w:sz w:val="24"/>
          <w:szCs w:val="24"/>
        </w:rPr>
        <w:t>”</w:t>
      </w:r>
      <w:r w:rsidR="00034EA1">
        <w:rPr>
          <w:rFonts w:ascii="Arial" w:hAnsi="Arial" w:cs="Arial"/>
          <w:sz w:val="24"/>
          <w:szCs w:val="24"/>
        </w:rPr>
        <w:t xml:space="preserve">  As a </w:t>
      </w:r>
      <w:r w:rsidR="009F57B5">
        <w:rPr>
          <w:rFonts w:ascii="Arial" w:hAnsi="Arial" w:cs="Arial"/>
          <w:sz w:val="24"/>
          <w:szCs w:val="24"/>
        </w:rPr>
        <w:t xml:space="preserve">qualified </w:t>
      </w:r>
      <w:r w:rsidR="00034EA1">
        <w:rPr>
          <w:rFonts w:ascii="Arial" w:hAnsi="Arial" w:cs="Arial"/>
          <w:sz w:val="24"/>
          <w:szCs w:val="24"/>
        </w:rPr>
        <w:t xml:space="preserve">professional forester I am recommending that the fire hazard assessment </w:t>
      </w:r>
      <w:r w:rsidR="00EF508A">
        <w:rPr>
          <w:rFonts w:ascii="Arial" w:hAnsi="Arial" w:cs="Arial"/>
          <w:sz w:val="24"/>
          <w:szCs w:val="24"/>
        </w:rPr>
        <w:t xml:space="preserve">methodology </w:t>
      </w:r>
      <w:r w:rsidR="00034EA1">
        <w:rPr>
          <w:rFonts w:ascii="Arial" w:hAnsi="Arial" w:cs="Arial"/>
          <w:sz w:val="24"/>
          <w:szCs w:val="24"/>
        </w:rPr>
        <w:t xml:space="preserve">suggested </w:t>
      </w:r>
      <w:r w:rsidR="008F277F">
        <w:rPr>
          <w:rFonts w:ascii="Arial" w:hAnsi="Arial" w:cs="Arial"/>
          <w:sz w:val="24"/>
          <w:szCs w:val="24"/>
        </w:rPr>
        <w:t xml:space="preserve">in this document </w:t>
      </w:r>
      <w:r w:rsidR="00034EA1">
        <w:rPr>
          <w:rFonts w:ascii="Arial" w:hAnsi="Arial" w:cs="Arial"/>
          <w:sz w:val="24"/>
          <w:szCs w:val="24"/>
        </w:rPr>
        <w:t xml:space="preserve">is a simple and efficient process </w:t>
      </w:r>
      <w:r w:rsidR="00EF508A">
        <w:rPr>
          <w:rFonts w:ascii="Arial" w:hAnsi="Arial" w:cs="Arial"/>
          <w:sz w:val="24"/>
          <w:szCs w:val="24"/>
        </w:rPr>
        <w:t xml:space="preserve">that should allow a </w:t>
      </w:r>
      <w:r w:rsidR="00EF508A" w:rsidRPr="000001C6">
        <w:rPr>
          <w:rFonts w:ascii="Arial" w:hAnsi="Arial" w:cs="Arial"/>
          <w:sz w:val="24"/>
          <w:szCs w:val="24"/>
        </w:rPr>
        <w:t>consc</w:t>
      </w:r>
      <w:r w:rsidR="00611F5C" w:rsidRPr="000001C6">
        <w:rPr>
          <w:rFonts w:ascii="Arial" w:hAnsi="Arial" w:cs="Arial"/>
          <w:sz w:val="24"/>
          <w:szCs w:val="24"/>
        </w:rPr>
        <w:t>ient</w:t>
      </w:r>
      <w:r w:rsidR="00EF508A" w:rsidRPr="000001C6">
        <w:rPr>
          <w:rFonts w:ascii="Arial" w:hAnsi="Arial" w:cs="Arial"/>
          <w:sz w:val="24"/>
          <w:szCs w:val="24"/>
        </w:rPr>
        <w:t>ious</w:t>
      </w:r>
      <w:r w:rsidR="00EF508A">
        <w:rPr>
          <w:rFonts w:ascii="Arial" w:hAnsi="Arial" w:cs="Arial"/>
          <w:sz w:val="24"/>
          <w:szCs w:val="24"/>
        </w:rPr>
        <w:t xml:space="preserve"> </w:t>
      </w:r>
      <w:r w:rsidR="00873C29">
        <w:rPr>
          <w:rFonts w:ascii="Arial" w:hAnsi="Arial" w:cs="Arial"/>
          <w:sz w:val="24"/>
          <w:szCs w:val="24"/>
        </w:rPr>
        <w:t>woodlot licensee</w:t>
      </w:r>
      <w:r w:rsidR="00EF508A">
        <w:rPr>
          <w:rFonts w:ascii="Arial" w:hAnsi="Arial" w:cs="Arial"/>
          <w:sz w:val="24"/>
          <w:szCs w:val="24"/>
        </w:rPr>
        <w:t xml:space="preserve"> </w:t>
      </w:r>
      <w:r w:rsidR="00034EA1">
        <w:rPr>
          <w:rFonts w:ascii="Arial" w:hAnsi="Arial" w:cs="Arial"/>
          <w:sz w:val="24"/>
          <w:szCs w:val="24"/>
        </w:rPr>
        <w:t xml:space="preserve">to </w:t>
      </w:r>
      <w:r w:rsidR="0017211D">
        <w:rPr>
          <w:rFonts w:ascii="Arial" w:hAnsi="Arial" w:cs="Arial"/>
          <w:sz w:val="24"/>
          <w:szCs w:val="24"/>
        </w:rPr>
        <w:t xml:space="preserve">complete a fire hazard assessment and </w:t>
      </w:r>
      <w:r w:rsidR="00034EA1">
        <w:rPr>
          <w:rFonts w:ascii="Arial" w:hAnsi="Arial" w:cs="Arial"/>
          <w:sz w:val="24"/>
          <w:szCs w:val="24"/>
        </w:rPr>
        <w:t xml:space="preserve">arrive at </w:t>
      </w:r>
      <w:r w:rsidR="006C0961">
        <w:rPr>
          <w:rFonts w:ascii="Arial" w:hAnsi="Arial" w:cs="Arial"/>
          <w:sz w:val="24"/>
          <w:szCs w:val="24"/>
        </w:rPr>
        <w:t>appropriate</w:t>
      </w:r>
      <w:r w:rsidR="00EF508A">
        <w:rPr>
          <w:rFonts w:ascii="Arial" w:hAnsi="Arial" w:cs="Arial"/>
          <w:sz w:val="24"/>
          <w:szCs w:val="24"/>
        </w:rPr>
        <w:t xml:space="preserve"> </w:t>
      </w:r>
      <w:r w:rsidR="00034EA1">
        <w:rPr>
          <w:rFonts w:ascii="Arial" w:hAnsi="Arial" w:cs="Arial"/>
          <w:sz w:val="24"/>
          <w:szCs w:val="24"/>
        </w:rPr>
        <w:t>decision</w:t>
      </w:r>
      <w:r w:rsidR="006C0961">
        <w:rPr>
          <w:rFonts w:ascii="Arial" w:hAnsi="Arial" w:cs="Arial"/>
          <w:sz w:val="24"/>
          <w:szCs w:val="24"/>
        </w:rPr>
        <w:t>s</w:t>
      </w:r>
      <w:r w:rsidR="00034EA1">
        <w:rPr>
          <w:rFonts w:ascii="Arial" w:hAnsi="Arial" w:cs="Arial"/>
          <w:sz w:val="24"/>
          <w:szCs w:val="24"/>
        </w:rPr>
        <w:t xml:space="preserve"> a</w:t>
      </w:r>
      <w:r w:rsidR="006C0961">
        <w:rPr>
          <w:rFonts w:ascii="Arial" w:hAnsi="Arial" w:cs="Arial"/>
          <w:sz w:val="24"/>
          <w:szCs w:val="24"/>
        </w:rPr>
        <w:t xml:space="preserve">bout </w:t>
      </w:r>
      <w:r w:rsidR="00EF508A">
        <w:rPr>
          <w:rFonts w:ascii="Arial" w:hAnsi="Arial" w:cs="Arial"/>
          <w:sz w:val="24"/>
          <w:szCs w:val="24"/>
        </w:rPr>
        <w:t xml:space="preserve">the </w:t>
      </w:r>
      <w:r w:rsidR="006C0961">
        <w:rPr>
          <w:rFonts w:ascii="Arial" w:hAnsi="Arial" w:cs="Arial"/>
          <w:sz w:val="24"/>
          <w:szCs w:val="24"/>
        </w:rPr>
        <w:t>need for</w:t>
      </w:r>
      <w:r w:rsidR="00EF508A">
        <w:rPr>
          <w:rFonts w:ascii="Arial" w:hAnsi="Arial" w:cs="Arial"/>
          <w:sz w:val="24"/>
          <w:szCs w:val="24"/>
        </w:rPr>
        <w:t xml:space="preserve"> </w:t>
      </w:r>
      <w:r w:rsidR="00034EA1">
        <w:rPr>
          <w:rFonts w:ascii="Arial" w:hAnsi="Arial" w:cs="Arial"/>
          <w:sz w:val="24"/>
          <w:szCs w:val="24"/>
        </w:rPr>
        <w:t xml:space="preserve">fire hazard </w:t>
      </w:r>
      <w:r w:rsidR="00EF508A">
        <w:rPr>
          <w:rFonts w:ascii="Arial" w:hAnsi="Arial" w:cs="Arial"/>
          <w:sz w:val="24"/>
          <w:szCs w:val="24"/>
        </w:rPr>
        <w:t>abatement treatments</w:t>
      </w:r>
      <w:r w:rsidR="00F54DA3">
        <w:rPr>
          <w:rFonts w:ascii="Arial" w:hAnsi="Arial" w:cs="Arial"/>
          <w:sz w:val="24"/>
          <w:szCs w:val="24"/>
        </w:rPr>
        <w:t>.</w:t>
      </w:r>
      <w:r w:rsidR="00EF508A">
        <w:rPr>
          <w:rFonts w:ascii="Arial" w:hAnsi="Arial" w:cs="Arial"/>
          <w:sz w:val="24"/>
          <w:szCs w:val="24"/>
        </w:rPr>
        <w:t xml:space="preserve">  </w:t>
      </w:r>
      <w:r w:rsidR="00611F5C">
        <w:rPr>
          <w:rFonts w:ascii="Arial" w:hAnsi="Arial" w:cs="Arial"/>
          <w:sz w:val="24"/>
          <w:szCs w:val="24"/>
        </w:rPr>
        <w:t xml:space="preserve">I have not recommended measuring the </w:t>
      </w:r>
      <w:r w:rsidR="00611F5C" w:rsidRPr="003E3921">
        <w:rPr>
          <w:rFonts w:ascii="Arial" w:hAnsi="Arial" w:cs="Arial"/>
          <w:sz w:val="24"/>
          <w:szCs w:val="24"/>
        </w:rPr>
        <w:t>tonnes</w:t>
      </w:r>
      <w:r w:rsidR="00611F5C">
        <w:rPr>
          <w:rFonts w:ascii="Arial" w:hAnsi="Arial" w:cs="Arial"/>
          <w:sz w:val="24"/>
          <w:szCs w:val="24"/>
        </w:rPr>
        <w:t xml:space="preserve"> of dispersed fuels</w:t>
      </w:r>
      <w:r w:rsidR="00394926">
        <w:rPr>
          <w:rFonts w:ascii="Arial" w:hAnsi="Arial" w:cs="Arial"/>
          <w:sz w:val="24"/>
          <w:szCs w:val="24"/>
        </w:rPr>
        <w:t xml:space="preserve"> per </w:t>
      </w:r>
      <w:r w:rsidR="00611F5C">
        <w:rPr>
          <w:rFonts w:ascii="Arial" w:hAnsi="Arial" w:cs="Arial"/>
          <w:sz w:val="24"/>
          <w:szCs w:val="24"/>
        </w:rPr>
        <w:t xml:space="preserve">hectare as is suggested in </w:t>
      </w:r>
      <w:r w:rsidR="00611F5C" w:rsidRPr="001665E5">
        <w:rPr>
          <w:rFonts w:ascii="Arial" w:hAnsi="Arial" w:cs="Arial"/>
          <w:sz w:val="24"/>
          <w:szCs w:val="24"/>
        </w:rPr>
        <w:t xml:space="preserve">A Guide to </w:t>
      </w:r>
      <w:r w:rsidR="00DD2615" w:rsidRPr="001665E5">
        <w:rPr>
          <w:rFonts w:ascii="Arial" w:hAnsi="Arial" w:cs="Arial"/>
          <w:sz w:val="24"/>
          <w:szCs w:val="24"/>
        </w:rPr>
        <w:t>F</w:t>
      </w:r>
      <w:r w:rsidR="00DD2615">
        <w:rPr>
          <w:rFonts w:ascii="Arial" w:hAnsi="Arial" w:cs="Arial"/>
          <w:sz w:val="24"/>
          <w:szCs w:val="24"/>
        </w:rPr>
        <w:t>uel</w:t>
      </w:r>
      <w:r w:rsidR="00DD2615" w:rsidRPr="001665E5">
        <w:rPr>
          <w:rFonts w:ascii="Arial" w:hAnsi="Arial" w:cs="Arial"/>
          <w:sz w:val="24"/>
          <w:szCs w:val="24"/>
        </w:rPr>
        <w:t xml:space="preserve"> </w:t>
      </w:r>
      <w:r w:rsidR="00611F5C" w:rsidRPr="001665E5">
        <w:rPr>
          <w:rFonts w:ascii="Arial" w:hAnsi="Arial" w:cs="Arial"/>
          <w:sz w:val="24"/>
          <w:szCs w:val="24"/>
        </w:rPr>
        <w:t>Hazard Assessment and Abatement in BC</w:t>
      </w:r>
      <w:r w:rsidR="006C0961">
        <w:rPr>
          <w:rFonts w:ascii="Arial" w:hAnsi="Arial" w:cs="Arial"/>
          <w:sz w:val="24"/>
          <w:szCs w:val="24"/>
        </w:rPr>
        <w:t xml:space="preserve"> because </w:t>
      </w:r>
      <w:r w:rsidR="00A87B8E">
        <w:rPr>
          <w:rFonts w:ascii="Arial" w:hAnsi="Arial" w:cs="Arial"/>
          <w:sz w:val="24"/>
          <w:szCs w:val="24"/>
        </w:rPr>
        <w:t>these measurements would be too costly</w:t>
      </w:r>
      <w:r w:rsidR="00E24229">
        <w:rPr>
          <w:rFonts w:ascii="Arial" w:hAnsi="Arial" w:cs="Arial"/>
          <w:sz w:val="24"/>
          <w:szCs w:val="24"/>
        </w:rPr>
        <w:t xml:space="preserve"> and with good harvesting </w:t>
      </w:r>
      <w:r w:rsidR="008F277F">
        <w:rPr>
          <w:rFonts w:ascii="Arial" w:hAnsi="Arial" w:cs="Arial"/>
          <w:sz w:val="24"/>
          <w:szCs w:val="24"/>
        </w:rPr>
        <w:t xml:space="preserve">and fire hazard abatement </w:t>
      </w:r>
      <w:r w:rsidR="00E24229">
        <w:rPr>
          <w:rFonts w:ascii="Arial" w:hAnsi="Arial" w:cs="Arial"/>
          <w:sz w:val="24"/>
          <w:szCs w:val="24"/>
        </w:rPr>
        <w:t xml:space="preserve">practices </w:t>
      </w:r>
      <w:r w:rsidR="00A71CF9">
        <w:rPr>
          <w:rFonts w:ascii="Arial" w:hAnsi="Arial" w:cs="Arial"/>
          <w:sz w:val="24"/>
          <w:szCs w:val="24"/>
        </w:rPr>
        <w:t>such measurements are</w:t>
      </w:r>
      <w:r w:rsidR="00E24229">
        <w:rPr>
          <w:rFonts w:ascii="Arial" w:hAnsi="Arial" w:cs="Arial"/>
          <w:sz w:val="24"/>
          <w:szCs w:val="24"/>
        </w:rPr>
        <w:t xml:space="preserve"> usually unnecessary</w:t>
      </w:r>
      <w:r w:rsidR="00611F5C">
        <w:rPr>
          <w:rFonts w:ascii="Arial" w:hAnsi="Arial" w:cs="Arial"/>
          <w:sz w:val="24"/>
          <w:szCs w:val="24"/>
        </w:rPr>
        <w:t xml:space="preserve">. </w:t>
      </w:r>
    </w:p>
    <w:p w14:paraId="3D489311" w14:textId="77777777" w:rsidR="00D83158" w:rsidRPr="009E503C" w:rsidRDefault="00873C29" w:rsidP="00C938EC">
      <w:pPr>
        <w:rPr>
          <w:rFonts w:ascii="Arial" w:hAnsi="Arial" w:cs="Arial"/>
          <w:sz w:val="24"/>
          <w:szCs w:val="24"/>
        </w:rPr>
      </w:pPr>
      <w:r>
        <w:rPr>
          <w:rFonts w:ascii="Arial" w:hAnsi="Arial" w:cs="Arial"/>
          <w:sz w:val="24"/>
          <w:szCs w:val="24"/>
        </w:rPr>
        <w:t xml:space="preserve">In the event that </w:t>
      </w:r>
      <w:r w:rsidR="006C0961">
        <w:rPr>
          <w:rFonts w:ascii="Arial" w:hAnsi="Arial" w:cs="Arial"/>
          <w:sz w:val="24"/>
          <w:szCs w:val="24"/>
        </w:rPr>
        <w:t xml:space="preserve">an </w:t>
      </w:r>
      <w:r w:rsidR="009E503C">
        <w:rPr>
          <w:rFonts w:ascii="Arial" w:hAnsi="Arial" w:cs="Arial"/>
          <w:sz w:val="24"/>
          <w:szCs w:val="24"/>
        </w:rPr>
        <w:t>“</w:t>
      </w:r>
      <w:r w:rsidR="0078031B" w:rsidRPr="000001C6">
        <w:rPr>
          <w:rFonts w:ascii="Arial" w:hAnsi="Arial" w:cs="Arial"/>
          <w:b/>
          <w:sz w:val="24"/>
          <w:szCs w:val="24"/>
        </w:rPr>
        <w:t>officia</w:t>
      </w:r>
      <w:r w:rsidR="0078031B">
        <w:rPr>
          <w:rFonts w:ascii="Arial" w:hAnsi="Arial" w:cs="Arial"/>
          <w:sz w:val="24"/>
          <w:szCs w:val="24"/>
        </w:rPr>
        <w:t>l</w:t>
      </w:r>
      <w:r w:rsidR="009E503C">
        <w:rPr>
          <w:rFonts w:ascii="Arial" w:hAnsi="Arial" w:cs="Arial"/>
          <w:sz w:val="24"/>
          <w:szCs w:val="24"/>
        </w:rPr>
        <w:t>”</w:t>
      </w:r>
      <w:r w:rsidR="0078031B">
        <w:rPr>
          <w:rFonts w:ascii="Arial" w:hAnsi="Arial" w:cs="Arial"/>
          <w:sz w:val="24"/>
          <w:szCs w:val="24"/>
        </w:rPr>
        <w:t xml:space="preserve"> working for BC Wildfire Service believes fire hazard abatement is warranted where a fire hazard assessment indicates it is not, </w:t>
      </w:r>
      <w:r w:rsidR="00E24229">
        <w:rPr>
          <w:rFonts w:ascii="Arial" w:hAnsi="Arial" w:cs="Arial"/>
          <w:sz w:val="24"/>
          <w:szCs w:val="24"/>
        </w:rPr>
        <w:t xml:space="preserve">(or a fire hazard assessment hasn’t been completed), </w:t>
      </w:r>
      <w:r>
        <w:rPr>
          <w:rFonts w:ascii="Arial" w:hAnsi="Arial" w:cs="Arial"/>
          <w:sz w:val="24"/>
          <w:szCs w:val="24"/>
        </w:rPr>
        <w:t>s</w:t>
      </w:r>
      <w:r w:rsidR="0078031B">
        <w:rPr>
          <w:rFonts w:ascii="Arial" w:hAnsi="Arial" w:cs="Arial"/>
          <w:sz w:val="24"/>
          <w:szCs w:val="24"/>
        </w:rPr>
        <w:t xml:space="preserve">ection </w:t>
      </w:r>
      <w:r w:rsidR="009E503C">
        <w:rPr>
          <w:rFonts w:ascii="Arial" w:hAnsi="Arial" w:cs="Arial"/>
          <w:sz w:val="24"/>
          <w:szCs w:val="24"/>
        </w:rPr>
        <w:t xml:space="preserve">7(3) </w:t>
      </w:r>
      <w:r w:rsidR="0078031B">
        <w:rPr>
          <w:rFonts w:ascii="Arial" w:hAnsi="Arial" w:cs="Arial"/>
          <w:sz w:val="24"/>
          <w:szCs w:val="24"/>
        </w:rPr>
        <w:t xml:space="preserve">of the </w:t>
      </w:r>
      <w:r w:rsidR="009E503C" w:rsidRPr="006C0961">
        <w:rPr>
          <w:rFonts w:ascii="Arial" w:hAnsi="Arial" w:cs="Arial"/>
          <w:i/>
          <w:sz w:val="24"/>
          <w:szCs w:val="24"/>
        </w:rPr>
        <w:t>Wildfire Act</w:t>
      </w:r>
      <w:r w:rsidR="009E503C">
        <w:rPr>
          <w:rFonts w:ascii="Arial" w:hAnsi="Arial" w:cs="Arial"/>
          <w:sz w:val="24"/>
          <w:szCs w:val="24"/>
        </w:rPr>
        <w:t xml:space="preserve"> allows the </w:t>
      </w:r>
      <w:r w:rsidR="00E24229">
        <w:rPr>
          <w:rFonts w:ascii="Arial" w:hAnsi="Arial" w:cs="Arial"/>
          <w:sz w:val="24"/>
          <w:szCs w:val="24"/>
        </w:rPr>
        <w:t>“</w:t>
      </w:r>
      <w:r w:rsidR="009E503C" w:rsidRPr="000001C6">
        <w:rPr>
          <w:rFonts w:ascii="Arial" w:hAnsi="Arial" w:cs="Arial"/>
          <w:b/>
          <w:sz w:val="24"/>
          <w:szCs w:val="24"/>
        </w:rPr>
        <w:t>official</w:t>
      </w:r>
      <w:r w:rsidR="00E24229">
        <w:rPr>
          <w:rFonts w:ascii="Arial" w:hAnsi="Arial" w:cs="Arial"/>
          <w:sz w:val="24"/>
          <w:szCs w:val="24"/>
        </w:rPr>
        <w:t>”</w:t>
      </w:r>
      <w:r w:rsidR="009E503C">
        <w:rPr>
          <w:rFonts w:ascii="Arial" w:hAnsi="Arial" w:cs="Arial"/>
          <w:sz w:val="24"/>
          <w:szCs w:val="24"/>
        </w:rPr>
        <w:t xml:space="preserve"> to create a</w:t>
      </w:r>
      <w:r w:rsidR="009E503C">
        <w:rPr>
          <w:rFonts w:ascii="Verdana" w:hAnsi="Verdana"/>
          <w:color w:val="000000"/>
          <w:shd w:val="clear" w:color="auto" w:fill="FFFFFF"/>
        </w:rPr>
        <w:t xml:space="preserve"> </w:t>
      </w:r>
      <w:r w:rsidR="009E503C" w:rsidRPr="009E503C">
        <w:rPr>
          <w:rFonts w:ascii="Arial" w:hAnsi="Arial" w:cs="Arial"/>
          <w:color w:val="000000"/>
          <w:sz w:val="24"/>
          <w:szCs w:val="24"/>
          <w:shd w:val="clear" w:color="auto" w:fill="FFFFFF"/>
        </w:rPr>
        <w:t>written order to require the applicable person to abate the fire hazard by a specified date.</w:t>
      </w:r>
      <w:r w:rsidR="00611F5C" w:rsidRPr="009E503C">
        <w:rPr>
          <w:rFonts w:ascii="Arial" w:hAnsi="Arial" w:cs="Arial"/>
          <w:sz w:val="24"/>
          <w:szCs w:val="24"/>
        </w:rPr>
        <w:t xml:space="preserve">  </w:t>
      </w:r>
    </w:p>
    <w:p w14:paraId="243EB890" w14:textId="77777777" w:rsidR="00E03409" w:rsidRDefault="00D83158" w:rsidP="00E24229">
      <w:pPr>
        <w:spacing w:after="40"/>
        <w:rPr>
          <w:rFonts w:ascii="Arial" w:hAnsi="Arial" w:cs="Arial"/>
          <w:b/>
          <w:sz w:val="24"/>
          <w:szCs w:val="24"/>
        </w:rPr>
      </w:pPr>
      <w:r w:rsidRPr="00D83158">
        <w:rPr>
          <w:rFonts w:ascii="Arial" w:hAnsi="Arial" w:cs="Arial"/>
          <w:b/>
          <w:sz w:val="24"/>
          <w:szCs w:val="24"/>
        </w:rPr>
        <w:t xml:space="preserve">Who can </w:t>
      </w:r>
      <w:r>
        <w:rPr>
          <w:rFonts w:ascii="Arial" w:hAnsi="Arial" w:cs="Arial"/>
          <w:b/>
          <w:sz w:val="24"/>
          <w:szCs w:val="24"/>
        </w:rPr>
        <w:t>c</w:t>
      </w:r>
      <w:r w:rsidRPr="00D83158">
        <w:rPr>
          <w:rFonts w:ascii="Arial" w:hAnsi="Arial" w:cs="Arial"/>
          <w:b/>
          <w:sz w:val="24"/>
          <w:szCs w:val="24"/>
        </w:rPr>
        <w:t>omplete a Fire Hazard Assessment o</w:t>
      </w:r>
      <w:r>
        <w:rPr>
          <w:rFonts w:ascii="Arial" w:hAnsi="Arial" w:cs="Arial"/>
          <w:b/>
          <w:sz w:val="24"/>
          <w:szCs w:val="24"/>
        </w:rPr>
        <w:t>n</w:t>
      </w:r>
      <w:r w:rsidRPr="00D83158">
        <w:rPr>
          <w:rFonts w:ascii="Arial" w:hAnsi="Arial" w:cs="Arial"/>
          <w:b/>
          <w:sz w:val="24"/>
          <w:szCs w:val="24"/>
        </w:rPr>
        <w:t xml:space="preserve"> a woodlot licence harvest area? </w:t>
      </w:r>
    </w:p>
    <w:p w14:paraId="4DA2E991" w14:textId="7322B8B9" w:rsidR="00D61D64" w:rsidRDefault="00873248" w:rsidP="00C938EC">
      <w:pPr>
        <w:rPr>
          <w:rFonts w:ascii="Arial" w:hAnsi="Arial" w:cs="Arial"/>
          <w:sz w:val="24"/>
          <w:szCs w:val="24"/>
        </w:rPr>
      </w:pPr>
      <w:r>
        <w:rPr>
          <w:rFonts w:ascii="Arial" w:hAnsi="Arial" w:cs="Arial"/>
          <w:sz w:val="24"/>
          <w:szCs w:val="24"/>
        </w:rPr>
        <w:t xml:space="preserve">The assessment of a forest, forest harvest, or </w:t>
      </w:r>
      <w:r w:rsidR="000A6A9A">
        <w:rPr>
          <w:rFonts w:ascii="Arial" w:hAnsi="Arial" w:cs="Arial"/>
          <w:sz w:val="24"/>
          <w:szCs w:val="24"/>
        </w:rPr>
        <w:t xml:space="preserve">the fire hazard associated with </w:t>
      </w:r>
      <w:r>
        <w:rPr>
          <w:rFonts w:ascii="Arial" w:hAnsi="Arial" w:cs="Arial"/>
          <w:sz w:val="24"/>
          <w:szCs w:val="24"/>
        </w:rPr>
        <w:t xml:space="preserve">forest </w:t>
      </w:r>
      <w:r w:rsidR="006D77C3">
        <w:rPr>
          <w:rFonts w:ascii="Arial" w:hAnsi="Arial" w:cs="Arial"/>
          <w:sz w:val="24"/>
          <w:szCs w:val="24"/>
        </w:rPr>
        <w:t xml:space="preserve">slash </w:t>
      </w:r>
      <w:r w:rsidR="000A6A9A">
        <w:rPr>
          <w:rFonts w:ascii="Arial" w:hAnsi="Arial" w:cs="Arial"/>
          <w:sz w:val="24"/>
          <w:szCs w:val="24"/>
        </w:rPr>
        <w:t xml:space="preserve">after harvesting </w:t>
      </w:r>
      <w:r>
        <w:rPr>
          <w:rFonts w:ascii="Arial" w:hAnsi="Arial" w:cs="Arial"/>
          <w:sz w:val="24"/>
          <w:szCs w:val="24"/>
        </w:rPr>
        <w:t xml:space="preserve">is </w:t>
      </w:r>
      <w:r w:rsidR="00D83158">
        <w:rPr>
          <w:rFonts w:ascii="Arial" w:hAnsi="Arial" w:cs="Arial"/>
          <w:sz w:val="24"/>
          <w:szCs w:val="24"/>
        </w:rPr>
        <w:t xml:space="preserve">professional forestry work that should be completed by </w:t>
      </w:r>
      <w:r w:rsidR="000A6A9A">
        <w:rPr>
          <w:rFonts w:ascii="Arial" w:hAnsi="Arial" w:cs="Arial"/>
          <w:sz w:val="24"/>
          <w:szCs w:val="24"/>
        </w:rPr>
        <w:t xml:space="preserve">a </w:t>
      </w:r>
      <w:r w:rsidR="00D83158">
        <w:rPr>
          <w:rFonts w:ascii="Arial" w:hAnsi="Arial" w:cs="Arial"/>
          <w:sz w:val="24"/>
          <w:szCs w:val="24"/>
        </w:rPr>
        <w:t>forest professional</w:t>
      </w:r>
      <w:r w:rsidR="006D77C3">
        <w:rPr>
          <w:rFonts w:ascii="Arial" w:hAnsi="Arial" w:cs="Arial"/>
          <w:sz w:val="24"/>
          <w:szCs w:val="24"/>
        </w:rPr>
        <w:t xml:space="preserve">. </w:t>
      </w:r>
      <w:r w:rsidR="000A6A9A">
        <w:rPr>
          <w:rFonts w:ascii="Arial" w:hAnsi="Arial" w:cs="Arial"/>
          <w:sz w:val="24"/>
          <w:szCs w:val="24"/>
        </w:rPr>
        <w:t xml:space="preserve">Fire hazard </w:t>
      </w:r>
      <w:r w:rsidR="006D77C3">
        <w:rPr>
          <w:rFonts w:ascii="Arial" w:hAnsi="Arial" w:cs="Arial"/>
          <w:sz w:val="24"/>
          <w:szCs w:val="24"/>
        </w:rPr>
        <w:t xml:space="preserve">assessments on woodlot </w:t>
      </w:r>
      <w:r w:rsidR="00394926">
        <w:rPr>
          <w:rFonts w:ascii="Arial" w:hAnsi="Arial" w:cs="Arial"/>
          <w:sz w:val="24"/>
          <w:szCs w:val="24"/>
        </w:rPr>
        <w:t xml:space="preserve">harvest </w:t>
      </w:r>
      <w:r w:rsidR="006D77C3">
        <w:rPr>
          <w:rFonts w:ascii="Arial" w:hAnsi="Arial" w:cs="Arial"/>
          <w:sz w:val="24"/>
          <w:szCs w:val="24"/>
        </w:rPr>
        <w:t xml:space="preserve">areas will typically be </w:t>
      </w:r>
      <w:r w:rsidR="002A7932">
        <w:rPr>
          <w:rFonts w:ascii="Arial" w:hAnsi="Arial" w:cs="Arial"/>
          <w:sz w:val="24"/>
          <w:szCs w:val="24"/>
        </w:rPr>
        <w:t>les</w:t>
      </w:r>
      <w:r w:rsidR="00D83158">
        <w:rPr>
          <w:rFonts w:ascii="Arial" w:hAnsi="Arial" w:cs="Arial"/>
          <w:sz w:val="24"/>
          <w:szCs w:val="24"/>
        </w:rPr>
        <w:t xml:space="preserve">s onerous </w:t>
      </w:r>
      <w:r w:rsidR="00A4387B">
        <w:rPr>
          <w:rFonts w:ascii="Arial" w:hAnsi="Arial" w:cs="Arial"/>
          <w:sz w:val="24"/>
          <w:szCs w:val="24"/>
        </w:rPr>
        <w:t xml:space="preserve">and less complex than </w:t>
      </w:r>
      <w:r w:rsidR="00394926">
        <w:rPr>
          <w:rFonts w:ascii="Arial" w:hAnsi="Arial" w:cs="Arial"/>
          <w:sz w:val="24"/>
          <w:szCs w:val="24"/>
        </w:rPr>
        <w:t xml:space="preserve">on </w:t>
      </w:r>
      <w:r w:rsidR="00A4387B">
        <w:rPr>
          <w:rFonts w:ascii="Arial" w:hAnsi="Arial" w:cs="Arial"/>
          <w:sz w:val="24"/>
          <w:szCs w:val="24"/>
        </w:rPr>
        <w:t>a</w:t>
      </w:r>
      <w:r w:rsidR="00394926">
        <w:rPr>
          <w:rFonts w:ascii="Arial" w:hAnsi="Arial" w:cs="Arial"/>
          <w:sz w:val="24"/>
          <w:szCs w:val="24"/>
        </w:rPr>
        <w:t xml:space="preserve"> major tenure or </w:t>
      </w:r>
      <w:r w:rsidR="00D008A1">
        <w:rPr>
          <w:rFonts w:ascii="Arial" w:hAnsi="Arial" w:cs="Arial"/>
          <w:sz w:val="24"/>
          <w:szCs w:val="24"/>
        </w:rPr>
        <w:t xml:space="preserve">a </w:t>
      </w:r>
      <w:r w:rsidR="00394926">
        <w:rPr>
          <w:rFonts w:ascii="Arial" w:hAnsi="Arial" w:cs="Arial"/>
          <w:sz w:val="24"/>
          <w:szCs w:val="24"/>
        </w:rPr>
        <w:t>silviculture</w:t>
      </w:r>
      <w:r w:rsidR="00D83158">
        <w:rPr>
          <w:rFonts w:ascii="Arial" w:hAnsi="Arial" w:cs="Arial"/>
          <w:sz w:val="24"/>
          <w:szCs w:val="24"/>
        </w:rPr>
        <w:t xml:space="preserve"> survey</w:t>
      </w:r>
      <w:r w:rsidR="00A4387B">
        <w:rPr>
          <w:rFonts w:ascii="Arial" w:hAnsi="Arial" w:cs="Arial"/>
          <w:sz w:val="24"/>
          <w:szCs w:val="24"/>
        </w:rPr>
        <w:t xml:space="preserve"> for regeneration data</w:t>
      </w:r>
      <w:r w:rsidR="00D83158">
        <w:rPr>
          <w:rFonts w:ascii="Arial" w:hAnsi="Arial" w:cs="Arial"/>
          <w:sz w:val="24"/>
          <w:szCs w:val="24"/>
        </w:rPr>
        <w:t xml:space="preserve">.  </w:t>
      </w:r>
      <w:r w:rsidR="00A4387B">
        <w:rPr>
          <w:rFonts w:ascii="Arial" w:hAnsi="Arial" w:cs="Arial"/>
          <w:sz w:val="24"/>
          <w:szCs w:val="24"/>
        </w:rPr>
        <w:t>In other words, w</w:t>
      </w:r>
      <w:r w:rsidR="00D83158">
        <w:rPr>
          <w:rFonts w:ascii="Arial" w:hAnsi="Arial" w:cs="Arial"/>
          <w:sz w:val="24"/>
          <w:szCs w:val="24"/>
        </w:rPr>
        <w:t xml:space="preserve">ith a small amount of training </w:t>
      </w:r>
      <w:r w:rsidR="002A7932">
        <w:rPr>
          <w:rFonts w:ascii="Arial" w:hAnsi="Arial" w:cs="Arial"/>
          <w:sz w:val="24"/>
          <w:szCs w:val="24"/>
        </w:rPr>
        <w:t xml:space="preserve">from a </w:t>
      </w:r>
      <w:r w:rsidR="006A4081">
        <w:rPr>
          <w:rFonts w:ascii="Arial" w:hAnsi="Arial" w:cs="Arial"/>
          <w:sz w:val="24"/>
          <w:szCs w:val="24"/>
        </w:rPr>
        <w:t xml:space="preserve">qualified </w:t>
      </w:r>
      <w:r w:rsidR="002A7932">
        <w:rPr>
          <w:rFonts w:ascii="Arial" w:hAnsi="Arial" w:cs="Arial"/>
          <w:sz w:val="24"/>
          <w:szCs w:val="24"/>
        </w:rPr>
        <w:t xml:space="preserve">forest professional, </w:t>
      </w:r>
      <w:r w:rsidR="00D83158">
        <w:rPr>
          <w:rFonts w:ascii="Arial" w:hAnsi="Arial" w:cs="Arial"/>
          <w:sz w:val="24"/>
          <w:szCs w:val="24"/>
        </w:rPr>
        <w:t>an experienced woodlot licence holder should be able to use th</w:t>
      </w:r>
      <w:r w:rsidR="009D31FC">
        <w:rPr>
          <w:rFonts w:ascii="Arial" w:hAnsi="Arial" w:cs="Arial"/>
          <w:sz w:val="24"/>
          <w:szCs w:val="24"/>
        </w:rPr>
        <w:t>e</w:t>
      </w:r>
      <w:r w:rsidR="00D83158">
        <w:rPr>
          <w:rFonts w:ascii="Arial" w:hAnsi="Arial" w:cs="Arial"/>
          <w:sz w:val="24"/>
          <w:szCs w:val="24"/>
        </w:rPr>
        <w:t xml:space="preserve"> fire hazard assessment </w:t>
      </w:r>
      <w:r w:rsidR="00D61D64">
        <w:rPr>
          <w:rFonts w:ascii="Arial" w:hAnsi="Arial" w:cs="Arial"/>
          <w:sz w:val="24"/>
          <w:szCs w:val="24"/>
        </w:rPr>
        <w:t xml:space="preserve">template </w:t>
      </w:r>
      <w:r w:rsidR="00D83158">
        <w:rPr>
          <w:rFonts w:ascii="Arial" w:hAnsi="Arial" w:cs="Arial"/>
          <w:sz w:val="24"/>
          <w:szCs w:val="24"/>
        </w:rPr>
        <w:t xml:space="preserve">suggested </w:t>
      </w:r>
      <w:r w:rsidR="00F54DA3">
        <w:rPr>
          <w:rFonts w:ascii="Arial" w:hAnsi="Arial" w:cs="Arial"/>
          <w:sz w:val="24"/>
          <w:szCs w:val="24"/>
        </w:rPr>
        <w:t>in this document</w:t>
      </w:r>
      <w:r w:rsidR="00D83158">
        <w:rPr>
          <w:rFonts w:ascii="Arial" w:hAnsi="Arial" w:cs="Arial"/>
          <w:sz w:val="24"/>
          <w:szCs w:val="24"/>
        </w:rPr>
        <w:t xml:space="preserve"> to arrive at </w:t>
      </w:r>
      <w:r w:rsidR="00A4387B">
        <w:rPr>
          <w:rFonts w:ascii="Arial" w:hAnsi="Arial" w:cs="Arial"/>
          <w:sz w:val="24"/>
          <w:szCs w:val="24"/>
        </w:rPr>
        <w:t xml:space="preserve">suitable </w:t>
      </w:r>
      <w:r w:rsidR="00D83158">
        <w:rPr>
          <w:rFonts w:ascii="Arial" w:hAnsi="Arial" w:cs="Arial"/>
          <w:sz w:val="24"/>
          <w:szCs w:val="24"/>
        </w:rPr>
        <w:t>decision</w:t>
      </w:r>
      <w:r w:rsidR="00DA0CCA">
        <w:rPr>
          <w:rFonts w:ascii="Arial" w:hAnsi="Arial" w:cs="Arial"/>
          <w:sz w:val="24"/>
          <w:szCs w:val="24"/>
        </w:rPr>
        <w:t>s</w:t>
      </w:r>
      <w:r w:rsidR="00D83158">
        <w:rPr>
          <w:rFonts w:ascii="Arial" w:hAnsi="Arial" w:cs="Arial"/>
          <w:sz w:val="24"/>
          <w:szCs w:val="24"/>
        </w:rPr>
        <w:t xml:space="preserve"> about the need to complete fire hazard abatement treatments. </w:t>
      </w:r>
      <w:r w:rsidR="009E503C">
        <w:rPr>
          <w:rFonts w:ascii="Arial" w:hAnsi="Arial" w:cs="Arial"/>
          <w:sz w:val="24"/>
          <w:szCs w:val="24"/>
        </w:rPr>
        <w:t xml:space="preserve"> </w:t>
      </w:r>
    </w:p>
    <w:p w14:paraId="329BDE31" w14:textId="52253596" w:rsidR="00D008A1" w:rsidRDefault="00576F47" w:rsidP="00C938EC">
      <w:pPr>
        <w:rPr>
          <w:rFonts w:ascii="Arial" w:hAnsi="Arial" w:cs="Arial"/>
          <w:sz w:val="24"/>
          <w:szCs w:val="24"/>
        </w:rPr>
      </w:pPr>
      <w:r>
        <w:rPr>
          <w:rFonts w:ascii="Arial" w:hAnsi="Arial" w:cs="Arial"/>
          <w:sz w:val="24"/>
          <w:szCs w:val="24"/>
        </w:rPr>
        <w:t xml:space="preserve">The </w:t>
      </w:r>
      <w:r w:rsidR="00394926">
        <w:rPr>
          <w:rFonts w:ascii="Arial" w:hAnsi="Arial" w:cs="Arial"/>
          <w:sz w:val="24"/>
          <w:szCs w:val="24"/>
        </w:rPr>
        <w:t>fire h</w:t>
      </w:r>
      <w:r w:rsidR="002E25EE">
        <w:rPr>
          <w:rFonts w:ascii="Arial" w:hAnsi="Arial" w:cs="Arial"/>
          <w:sz w:val="24"/>
          <w:szCs w:val="24"/>
        </w:rPr>
        <w:t xml:space="preserve">azard </w:t>
      </w:r>
      <w:r w:rsidR="00394926">
        <w:rPr>
          <w:rFonts w:ascii="Arial" w:hAnsi="Arial" w:cs="Arial"/>
          <w:sz w:val="24"/>
          <w:szCs w:val="24"/>
        </w:rPr>
        <w:t xml:space="preserve">assessment </w:t>
      </w:r>
      <w:r w:rsidR="002E25EE">
        <w:rPr>
          <w:rFonts w:ascii="Arial" w:hAnsi="Arial" w:cs="Arial"/>
          <w:sz w:val="24"/>
          <w:szCs w:val="24"/>
        </w:rPr>
        <w:t>on the woodlot, undertaken by that woodlot licensee</w:t>
      </w:r>
      <w:r w:rsidR="006A4081">
        <w:rPr>
          <w:rFonts w:ascii="Arial" w:hAnsi="Arial" w:cs="Arial"/>
          <w:sz w:val="24"/>
          <w:szCs w:val="24"/>
        </w:rPr>
        <w:t xml:space="preserve"> using this template</w:t>
      </w:r>
      <w:r w:rsidR="002E25EE">
        <w:rPr>
          <w:rFonts w:ascii="Arial" w:hAnsi="Arial" w:cs="Arial"/>
          <w:sz w:val="24"/>
          <w:szCs w:val="24"/>
        </w:rPr>
        <w:t xml:space="preserve">, </w:t>
      </w:r>
      <w:r>
        <w:rPr>
          <w:rFonts w:ascii="Arial" w:hAnsi="Arial" w:cs="Arial"/>
          <w:sz w:val="24"/>
          <w:szCs w:val="24"/>
        </w:rPr>
        <w:t xml:space="preserve">would not be a professional assessment. Rather </w:t>
      </w:r>
      <w:r w:rsidR="00EB3B48">
        <w:rPr>
          <w:rFonts w:ascii="Arial" w:hAnsi="Arial" w:cs="Arial"/>
          <w:sz w:val="24"/>
          <w:szCs w:val="24"/>
        </w:rPr>
        <w:t xml:space="preserve">it would be a </w:t>
      </w:r>
      <w:r w:rsidR="002E25EE">
        <w:rPr>
          <w:rFonts w:ascii="Arial" w:hAnsi="Arial" w:cs="Arial"/>
          <w:sz w:val="24"/>
          <w:szCs w:val="24"/>
        </w:rPr>
        <w:t xml:space="preserve">woodlot </w:t>
      </w:r>
      <w:r w:rsidR="00EB3B48">
        <w:rPr>
          <w:rFonts w:ascii="Arial" w:hAnsi="Arial" w:cs="Arial"/>
          <w:sz w:val="24"/>
          <w:szCs w:val="24"/>
        </w:rPr>
        <w:t xml:space="preserve">licensee </w:t>
      </w:r>
      <w:r w:rsidR="002E25EE">
        <w:rPr>
          <w:rFonts w:ascii="Arial" w:hAnsi="Arial" w:cs="Arial"/>
          <w:sz w:val="24"/>
          <w:szCs w:val="24"/>
        </w:rPr>
        <w:t xml:space="preserve">fire hazard </w:t>
      </w:r>
      <w:r w:rsidR="00EB3B48">
        <w:rPr>
          <w:rFonts w:ascii="Arial" w:hAnsi="Arial" w:cs="Arial"/>
          <w:sz w:val="24"/>
          <w:szCs w:val="24"/>
        </w:rPr>
        <w:t xml:space="preserve">assessment on a specific </w:t>
      </w:r>
      <w:r w:rsidR="00C10352">
        <w:rPr>
          <w:rFonts w:ascii="Arial" w:hAnsi="Arial" w:cs="Arial"/>
          <w:sz w:val="24"/>
          <w:szCs w:val="24"/>
        </w:rPr>
        <w:t xml:space="preserve">harvest </w:t>
      </w:r>
      <w:r w:rsidR="00EB3B48">
        <w:rPr>
          <w:rFonts w:ascii="Arial" w:hAnsi="Arial" w:cs="Arial"/>
          <w:sz w:val="24"/>
          <w:szCs w:val="24"/>
        </w:rPr>
        <w:t>area o</w:t>
      </w:r>
      <w:r w:rsidR="00C10352">
        <w:rPr>
          <w:rFonts w:ascii="Arial" w:hAnsi="Arial" w:cs="Arial"/>
          <w:sz w:val="24"/>
          <w:szCs w:val="24"/>
        </w:rPr>
        <w:t>n</w:t>
      </w:r>
      <w:r w:rsidR="00EB3B48">
        <w:rPr>
          <w:rFonts w:ascii="Arial" w:hAnsi="Arial" w:cs="Arial"/>
          <w:sz w:val="24"/>
          <w:szCs w:val="24"/>
        </w:rPr>
        <w:t xml:space="preserve"> their own woodlot. </w:t>
      </w:r>
      <w:r w:rsidR="002E25EE">
        <w:rPr>
          <w:rFonts w:ascii="Arial" w:hAnsi="Arial" w:cs="Arial"/>
          <w:sz w:val="24"/>
          <w:szCs w:val="24"/>
        </w:rPr>
        <w:t xml:space="preserve">In special circumstances, such as an </w:t>
      </w:r>
      <w:r w:rsidR="002E25EE">
        <w:rPr>
          <w:rFonts w:ascii="Arial" w:hAnsi="Arial" w:cs="Arial"/>
          <w:sz w:val="24"/>
          <w:szCs w:val="24"/>
        </w:rPr>
        <w:lastRenderedPageBreak/>
        <w:t xml:space="preserve">elevated public </w:t>
      </w:r>
      <w:r w:rsidR="00D008A1">
        <w:rPr>
          <w:rFonts w:ascii="Arial" w:hAnsi="Arial" w:cs="Arial"/>
          <w:sz w:val="24"/>
          <w:szCs w:val="24"/>
        </w:rPr>
        <w:t xml:space="preserve">or </w:t>
      </w:r>
      <w:r w:rsidR="002E25EE">
        <w:rPr>
          <w:rFonts w:ascii="Arial" w:hAnsi="Arial" w:cs="Arial"/>
          <w:sz w:val="24"/>
          <w:szCs w:val="24"/>
        </w:rPr>
        <w:t xml:space="preserve">private adjacent </w:t>
      </w:r>
      <w:r w:rsidR="00D008A1">
        <w:rPr>
          <w:rFonts w:ascii="Arial" w:hAnsi="Arial" w:cs="Arial"/>
          <w:sz w:val="24"/>
          <w:szCs w:val="24"/>
        </w:rPr>
        <w:t xml:space="preserve">value or </w:t>
      </w:r>
      <w:r w:rsidR="002E25EE">
        <w:rPr>
          <w:rFonts w:ascii="Arial" w:hAnsi="Arial" w:cs="Arial"/>
          <w:sz w:val="24"/>
          <w:szCs w:val="24"/>
        </w:rPr>
        <w:t>risk</w:t>
      </w:r>
      <w:r w:rsidR="0007485E">
        <w:rPr>
          <w:rFonts w:ascii="Arial" w:hAnsi="Arial" w:cs="Arial"/>
          <w:sz w:val="24"/>
          <w:szCs w:val="24"/>
        </w:rPr>
        <w:t xml:space="preserve"> or</w:t>
      </w:r>
      <w:r w:rsidR="002E25EE">
        <w:rPr>
          <w:rFonts w:ascii="Arial" w:hAnsi="Arial" w:cs="Arial"/>
          <w:sz w:val="24"/>
          <w:szCs w:val="24"/>
        </w:rPr>
        <w:t xml:space="preserve"> </w:t>
      </w:r>
      <w:r w:rsidR="00CA5382">
        <w:rPr>
          <w:rFonts w:ascii="Arial" w:hAnsi="Arial" w:cs="Arial"/>
          <w:sz w:val="24"/>
          <w:szCs w:val="24"/>
        </w:rPr>
        <w:t>a harvest areas greater than 25 hectares</w:t>
      </w:r>
      <w:r w:rsidR="0007485E">
        <w:rPr>
          <w:rFonts w:ascii="Arial" w:hAnsi="Arial" w:cs="Arial"/>
          <w:sz w:val="24"/>
          <w:szCs w:val="24"/>
        </w:rPr>
        <w:t xml:space="preserve">, </w:t>
      </w:r>
      <w:r w:rsidR="002E25EE">
        <w:rPr>
          <w:rFonts w:ascii="Arial" w:hAnsi="Arial" w:cs="Arial"/>
          <w:sz w:val="24"/>
          <w:szCs w:val="24"/>
        </w:rPr>
        <w:t>a</w:t>
      </w:r>
      <w:r w:rsidR="00EB3B48">
        <w:rPr>
          <w:rFonts w:ascii="Arial" w:hAnsi="Arial" w:cs="Arial"/>
          <w:sz w:val="24"/>
          <w:szCs w:val="24"/>
        </w:rPr>
        <w:t xml:space="preserve"> licensee </w:t>
      </w:r>
      <w:r w:rsidR="00394926">
        <w:rPr>
          <w:rFonts w:ascii="Arial" w:hAnsi="Arial" w:cs="Arial"/>
          <w:sz w:val="24"/>
          <w:szCs w:val="24"/>
        </w:rPr>
        <w:t xml:space="preserve">should </w:t>
      </w:r>
      <w:r w:rsidR="002E25EE">
        <w:rPr>
          <w:rFonts w:ascii="Arial" w:hAnsi="Arial" w:cs="Arial"/>
          <w:sz w:val="24"/>
          <w:szCs w:val="24"/>
        </w:rPr>
        <w:t xml:space="preserve">choose to have their work reviewed by a registered forest professional.  </w:t>
      </w:r>
    </w:p>
    <w:p w14:paraId="153B276F" w14:textId="39DA4710" w:rsidR="009D31FC" w:rsidRDefault="009E503C" w:rsidP="00C938EC">
      <w:pPr>
        <w:rPr>
          <w:rFonts w:ascii="Arial" w:hAnsi="Arial" w:cs="Arial"/>
          <w:sz w:val="24"/>
          <w:szCs w:val="24"/>
        </w:rPr>
      </w:pPr>
      <w:r>
        <w:rPr>
          <w:rFonts w:ascii="Arial" w:hAnsi="Arial" w:cs="Arial"/>
          <w:sz w:val="24"/>
          <w:szCs w:val="24"/>
        </w:rPr>
        <w:t xml:space="preserve">A </w:t>
      </w:r>
      <w:r w:rsidR="00DA0CCA">
        <w:rPr>
          <w:rFonts w:ascii="Arial" w:hAnsi="Arial" w:cs="Arial"/>
          <w:sz w:val="24"/>
          <w:szCs w:val="24"/>
        </w:rPr>
        <w:t xml:space="preserve">fire hazard assessment </w:t>
      </w:r>
      <w:r w:rsidR="00A4387B">
        <w:rPr>
          <w:rFonts w:ascii="Arial" w:hAnsi="Arial" w:cs="Arial"/>
          <w:sz w:val="24"/>
          <w:szCs w:val="24"/>
        </w:rPr>
        <w:t>completed by a forest</w:t>
      </w:r>
      <w:r w:rsidR="00DA0CCA">
        <w:rPr>
          <w:rFonts w:ascii="Arial" w:hAnsi="Arial" w:cs="Arial"/>
          <w:sz w:val="24"/>
          <w:szCs w:val="24"/>
        </w:rPr>
        <w:t xml:space="preserve"> professional </w:t>
      </w:r>
      <w:r w:rsidR="00A4387B">
        <w:rPr>
          <w:rFonts w:ascii="Arial" w:hAnsi="Arial" w:cs="Arial"/>
          <w:sz w:val="24"/>
          <w:szCs w:val="24"/>
        </w:rPr>
        <w:t xml:space="preserve">typically </w:t>
      </w:r>
      <w:r w:rsidR="009D31FC">
        <w:rPr>
          <w:rFonts w:ascii="Arial" w:hAnsi="Arial" w:cs="Arial"/>
          <w:sz w:val="24"/>
          <w:szCs w:val="24"/>
        </w:rPr>
        <w:t>provides</w:t>
      </w:r>
      <w:r w:rsidR="00DA0CCA">
        <w:rPr>
          <w:rFonts w:ascii="Arial" w:hAnsi="Arial" w:cs="Arial"/>
          <w:sz w:val="24"/>
          <w:szCs w:val="24"/>
        </w:rPr>
        <w:t xml:space="preserve"> an assessment of the fuel hazards</w:t>
      </w:r>
      <w:r w:rsidR="009D31FC">
        <w:rPr>
          <w:rFonts w:ascii="Arial" w:hAnsi="Arial" w:cs="Arial"/>
          <w:sz w:val="24"/>
          <w:szCs w:val="24"/>
        </w:rPr>
        <w:t>,</w:t>
      </w:r>
      <w:r w:rsidR="00DA0CCA">
        <w:rPr>
          <w:rFonts w:ascii="Arial" w:hAnsi="Arial" w:cs="Arial"/>
          <w:sz w:val="24"/>
          <w:szCs w:val="24"/>
        </w:rPr>
        <w:t xml:space="preserve"> </w:t>
      </w:r>
      <w:r w:rsidR="009D31FC">
        <w:rPr>
          <w:rFonts w:ascii="Arial" w:hAnsi="Arial" w:cs="Arial"/>
          <w:sz w:val="24"/>
          <w:szCs w:val="24"/>
        </w:rPr>
        <w:t>the</w:t>
      </w:r>
      <w:r w:rsidR="00DA0CCA">
        <w:rPr>
          <w:rFonts w:ascii="Arial" w:hAnsi="Arial" w:cs="Arial"/>
          <w:sz w:val="24"/>
          <w:szCs w:val="24"/>
        </w:rPr>
        <w:t xml:space="preserve"> associated risk of wildfire and rec</w:t>
      </w:r>
      <w:r w:rsidR="009D31FC">
        <w:rPr>
          <w:rFonts w:ascii="Arial" w:hAnsi="Arial" w:cs="Arial"/>
          <w:sz w:val="24"/>
          <w:szCs w:val="24"/>
        </w:rPr>
        <w:t>om</w:t>
      </w:r>
      <w:r w:rsidR="002A7932">
        <w:rPr>
          <w:rFonts w:ascii="Arial" w:hAnsi="Arial" w:cs="Arial"/>
          <w:sz w:val="24"/>
          <w:szCs w:val="24"/>
        </w:rPr>
        <w:t>m</w:t>
      </w:r>
      <w:r w:rsidR="009D31FC">
        <w:rPr>
          <w:rFonts w:ascii="Arial" w:hAnsi="Arial" w:cs="Arial"/>
          <w:sz w:val="24"/>
          <w:szCs w:val="24"/>
        </w:rPr>
        <w:t>ends a</w:t>
      </w:r>
      <w:r w:rsidR="00DA0CCA">
        <w:rPr>
          <w:rFonts w:ascii="Arial" w:hAnsi="Arial" w:cs="Arial"/>
          <w:sz w:val="24"/>
          <w:szCs w:val="24"/>
        </w:rPr>
        <w:t xml:space="preserve">ppropriate hazard abatement treatments </w:t>
      </w:r>
      <w:r w:rsidR="009D31FC">
        <w:rPr>
          <w:rFonts w:ascii="Arial" w:hAnsi="Arial" w:cs="Arial"/>
          <w:sz w:val="24"/>
          <w:szCs w:val="24"/>
        </w:rPr>
        <w:t>which</w:t>
      </w:r>
      <w:r w:rsidR="00DA0CCA">
        <w:rPr>
          <w:rFonts w:ascii="Arial" w:hAnsi="Arial" w:cs="Arial"/>
          <w:sz w:val="24"/>
          <w:szCs w:val="24"/>
        </w:rPr>
        <w:t xml:space="preserve"> protect the public interest</w:t>
      </w:r>
      <w:r w:rsidR="00A4387B">
        <w:rPr>
          <w:rFonts w:ascii="Arial" w:hAnsi="Arial" w:cs="Arial"/>
          <w:sz w:val="24"/>
          <w:szCs w:val="24"/>
        </w:rPr>
        <w:t>,</w:t>
      </w:r>
      <w:r w:rsidR="00DA0CCA">
        <w:rPr>
          <w:rFonts w:ascii="Arial" w:hAnsi="Arial" w:cs="Arial"/>
          <w:sz w:val="24"/>
          <w:szCs w:val="24"/>
        </w:rPr>
        <w:t xml:space="preserve"> and the forest</w:t>
      </w:r>
      <w:r w:rsidR="00A4387B">
        <w:rPr>
          <w:rFonts w:ascii="Arial" w:hAnsi="Arial" w:cs="Arial"/>
          <w:sz w:val="24"/>
          <w:szCs w:val="24"/>
        </w:rPr>
        <w:t>,</w:t>
      </w:r>
      <w:r>
        <w:rPr>
          <w:rFonts w:ascii="Arial" w:hAnsi="Arial" w:cs="Arial"/>
          <w:sz w:val="24"/>
          <w:szCs w:val="24"/>
        </w:rPr>
        <w:t xml:space="preserve"> from wildfires</w:t>
      </w:r>
      <w:r w:rsidR="00DA0CCA">
        <w:rPr>
          <w:rFonts w:ascii="Arial" w:hAnsi="Arial" w:cs="Arial"/>
          <w:sz w:val="24"/>
          <w:szCs w:val="24"/>
        </w:rPr>
        <w:t xml:space="preserve">. </w:t>
      </w:r>
      <w:r w:rsidR="002E25EE">
        <w:rPr>
          <w:rFonts w:ascii="Arial" w:hAnsi="Arial" w:cs="Arial"/>
          <w:sz w:val="24"/>
          <w:szCs w:val="24"/>
        </w:rPr>
        <w:t>It is possible for</w:t>
      </w:r>
      <w:r w:rsidR="00873C29">
        <w:rPr>
          <w:rFonts w:ascii="Arial" w:hAnsi="Arial" w:cs="Arial"/>
          <w:sz w:val="24"/>
          <w:szCs w:val="24"/>
        </w:rPr>
        <w:t xml:space="preserve"> </w:t>
      </w:r>
      <w:r w:rsidR="000001C6">
        <w:rPr>
          <w:rFonts w:ascii="Arial" w:hAnsi="Arial" w:cs="Arial"/>
          <w:sz w:val="24"/>
          <w:szCs w:val="24"/>
        </w:rPr>
        <w:t xml:space="preserve">qualified </w:t>
      </w:r>
      <w:r w:rsidR="00873C29">
        <w:rPr>
          <w:rFonts w:ascii="Arial" w:hAnsi="Arial" w:cs="Arial"/>
          <w:sz w:val="24"/>
          <w:szCs w:val="24"/>
        </w:rPr>
        <w:t xml:space="preserve">woodlot licensees </w:t>
      </w:r>
      <w:r w:rsidR="000001C6">
        <w:rPr>
          <w:rFonts w:ascii="Arial" w:hAnsi="Arial" w:cs="Arial"/>
          <w:sz w:val="24"/>
          <w:szCs w:val="24"/>
        </w:rPr>
        <w:t xml:space="preserve">who are not forest professionals </w:t>
      </w:r>
      <w:r w:rsidR="00873C29">
        <w:rPr>
          <w:rFonts w:ascii="Arial" w:hAnsi="Arial" w:cs="Arial"/>
          <w:sz w:val="24"/>
          <w:szCs w:val="24"/>
        </w:rPr>
        <w:t xml:space="preserve">to complete fire hazard assessments </w:t>
      </w:r>
      <w:r w:rsidR="00E24229">
        <w:rPr>
          <w:rFonts w:ascii="Arial" w:hAnsi="Arial" w:cs="Arial"/>
          <w:sz w:val="24"/>
          <w:szCs w:val="24"/>
        </w:rPr>
        <w:t xml:space="preserve">on their own woodlot licence harvest areas </w:t>
      </w:r>
      <w:r w:rsidR="00873C29">
        <w:rPr>
          <w:rFonts w:ascii="Arial" w:hAnsi="Arial" w:cs="Arial"/>
          <w:sz w:val="24"/>
          <w:szCs w:val="24"/>
        </w:rPr>
        <w:t xml:space="preserve">using </w:t>
      </w:r>
      <w:r w:rsidR="00C10352">
        <w:rPr>
          <w:rFonts w:ascii="Arial" w:hAnsi="Arial" w:cs="Arial"/>
          <w:sz w:val="24"/>
          <w:szCs w:val="24"/>
        </w:rPr>
        <w:t>the template and instructions</w:t>
      </w:r>
      <w:r w:rsidR="00873C29">
        <w:rPr>
          <w:rFonts w:ascii="Arial" w:hAnsi="Arial" w:cs="Arial"/>
          <w:sz w:val="24"/>
          <w:szCs w:val="24"/>
        </w:rPr>
        <w:t xml:space="preserve"> described in this document</w:t>
      </w:r>
      <w:r w:rsidR="00C10352">
        <w:rPr>
          <w:rFonts w:ascii="Arial" w:hAnsi="Arial" w:cs="Arial"/>
          <w:sz w:val="24"/>
          <w:szCs w:val="24"/>
        </w:rPr>
        <w:t>.</w:t>
      </w:r>
      <w:r w:rsidR="00D008A1">
        <w:rPr>
          <w:rFonts w:ascii="Arial" w:hAnsi="Arial" w:cs="Arial"/>
          <w:sz w:val="24"/>
          <w:szCs w:val="24"/>
        </w:rPr>
        <w:t xml:space="preserve"> </w:t>
      </w:r>
    </w:p>
    <w:p w14:paraId="3EC39821" w14:textId="77777777" w:rsidR="006A4081" w:rsidRDefault="00C10352" w:rsidP="00CA5382">
      <w:pPr>
        <w:rPr>
          <w:rFonts w:ascii="Arial" w:hAnsi="Arial" w:cs="Arial"/>
          <w:sz w:val="24"/>
          <w:szCs w:val="24"/>
        </w:rPr>
      </w:pPr>
      <w:r w:rsidRPr="000001C6">
        <w:rPr>
          <w:rFonts w:ascii="Arial" w:hAnsi="Arial" w:cs="Arial"/>
          <w:sz w:val="24"/>
          <w:szCs w:val="24"/>
        </w:rPr>
        <w:t xml:space="preserve">The woodlot licensee who uses this </w:t>
      </w:r>
      <w:r w:rsidR="00CA5382">
        <w:rPr>
          <w:rFonts w:ascii="Arial" w:hAnsi="Arial" w:cs="Arial"/>
          <w:sz w:val="24"/>
          <w:szCs w:val="24"/>
        </w:rPr>
        <w:t xml:space="preserve">fire hazard assessment </w:t>
      </w:r>
      <w:r w:rsidRPr="000001C6">
        <w:rPr>
          <w:rFonts w:ascii="Arial" w:hAnsi="Arial" w:cs="Arial"/>
          <w:sz w:val="24"/>
          <w:szCs w:val="24"/>
        </w:rPr>
        <w:t xml:space="preserve">template is still ultimately responsible for accurately assessing the information they enter into the template and for </w:t>
      </w:r>
      <w:r w:rsidR="00DD2615">
        <w:rPr>
          <w:rFonts w:ascii="Arial" w:hAnsi="Arial" w:cs="Arial"/>
          <w:sz w:val="24"/>
          <w:szCs w:val="24"/>
        </w:rPr>
        <w:t xml:space="preserve">promptly </w:t>
      </w:r>
      <w:r>
        <w:rPr>
          <w:rFonts w:ascii="Arial" w:hAnsi="Arial" w:cs="Arial"/>
          <w:sz w:val="24"/>
          <w:szCs w:val="24"/>
        </w:rPr>
        <w:t>carry</w:t>
      </w:r>
      <w:r w:rsidRPr="00C10352">
        <w:rPr>
          <w:rFonts w:ascii="Arial" w:hAnsi="Arial" w:cs="Arial"/>
          <w:sz w:val="24"/>
          <w:szCs w:val="24"/>
        </w:rPr>
        <w:t>ing</w:t>
      </w:r>
      <w:r w:rsidRPr="000001C6">
        <w:rPr>
          <w:rFonts w:ascii="Arial" w:hAnsi="Arial" w:cs="Arial"/>
          <w:sz w:val="24"/>
          <w:szCs w:val="24"/>
        </w:rPr>
        <w:t xml:space="preserve"> </w:t>
      </w:r>
      <w:r>
        <w:rPr>
          <w:rFonts w:ascii="Arial" w:hAnsi="Arial" w:cs="Arial"/>
          <w:sz w:val="24"/>
          <w:szCs w:val="24"/>
        </w:rPr>
        <w:t xml:space="preserve">out </w:t>
      </w:r>
      <w:r w:rsidRPr="000001C6">
        <w:rPr>
          <w:rFonts w:ascii="Arial" w:hAnsi="Arial" w:cs="Arial"/>
          <w:sz w:val="24"/>
          <w:szCs w:val="24"/>
        </w:rPr>
        <w:t>fire hazard abatement treatments that will effectively reduce the fire hazard</w:t>
      </w:r>
      <w:r w:rsidR="0007485E">
        <w:rPr>
          <w:rFonts w:ascii="Arial" w:hAnsi="Arial" w:cs="Arial"/>
          <w:sz w:val="24"/>
          <w:szCs w:val="24"/>
        </w:rPr>
        <w:t>,</w:t>
      </w:r>
      <w:r w:rsidRPr="000001C6">
        <w:rPr>
          <w:rFonts w:ascii="Arial" w:hAnsi="Arial" w:cs="Arial"/>
          <w:sz w:val="24"/>
          <w:szCs w:val="24"/>
        </w:rPr>
        <w:t xml:space="preserve"> protect </w:t>
      </w:r>
      <w:r w:rsidR="00CA5382">
        <w:rPr>
          <w:rFonts w:ascii="Arial" w:hAnsi="Arial" w:cs="Arial"/>
          <w:sz w:val="24"/>
          <w:szCs w:val="24"/>
        </w:rPr>
        <w:t xml:space="preserve">the public and </w:t>
      </w:r>
      <w:r w:rsidRPr="000001C6">
        <w:rPr>
          <w:rFonts w:ascii="Arial" w:hAnsi="Arial" w:cs="Arial"/>
          <w:sz w:val="24"/>
          <w:szCs w:val="24"/>
        </w:rPr>
        <w:t>nearby values at risk from wildfire.  There is no way my signature as a</w:t>
      </w:r>
      <w:r w:rsidR="0007485E">
        <w:rPr>
          <w:rFonts w:ascii="Arial" w:hAnsi="Arial" w:cs="Arial"/>
          <w:sz w:val="24"/>
          <w:szCs w:val="24"/>
        </w:rPr>
        <w:t xml:space="preserve"> professional forester</w:t>
      </w:r>
      <w:r w:rsidRPr="000001C6">
        <w:rPr>
          <w:rFonts w:ascii="Arial" w:hAnsi="Arial" w:cs="Arial"/>
          <w:sz w:val="24"/>
          <w:szCs w:val="24"/>
        </w:rPr>
        <w:t xml:space="preserve"> on the blank template can certify t</w:t>
      </w:r>
      <w:r w:rsidR="00CA5382" w:rsidRPr="00CA5382">
        <w:rPr>
          <w:rFonts w:ascii="Arial" w:hAnsi="Arial" w:cs="Arial"/>
          <w:sz w:val="24"/>
          <w:szCs w:val="24"/>
        </w:rPr>
        <w:t xml:space="preserve">he accuracy and suitability of </w:t>
      </w:r>
      <w:r w:rsidR="0007485E">
        <w:rPr>
          <w:rFonts w:ascii="Arial" w:hAnsi="Arial" w:cs="Arial"/>
          <w:sz w:val="24"/>
          <w:szCs w:val="24"/>
        </w:rPr>
        <w:t xml:space="preserve">a </w:t>
      </w:r>
      <w:r w:rsidRPr="000001C6">
        <w:rPr>
          <w:rFonts w:ascii="Arial" w:hAnsi="Arial" w:cs="Arial"/>
          <w:sz w:val="24"/>
          <w:szCs w:val="24"/>
        </w:rPr>
        <w:t xml:space="preserve">fire hazard assessment </w:t>
      </w:r>
      <w:r w:rsidR="00DD2615" w:rsidRPr="00CA5382">
        <w:rPr>
          <w:rFonts w:ascii="Arial" w:hAnsi="Arial" w:cs="Arial"/>
          <w:sz w:val="24"/>
          <w:szCs w:val="24"/>
        </w:rPr>
        <w:t>completed</w:t>
      </w:r>
      <w:r w:rsidR="00DD2615" w:rsidRPr="00281555">
        <w:rPr>
          <w:rFonts w:ascii="Arial" w:hAnsi="Arial" w:cs="Arial"/>
          <w:sz w:val="24"/>
          <w:szCs w:val="24"/>
        </w:rPr>
        <w:t xml:space="preserve"> </w:t>
      </w:r>
      <w:r w:rsidR="00DD2615">
        <w:rPr>
          <w:rFonts w:ascii="Arial" w:hAnsi="Arial" w:cs="Arial"/>
          <w:sz w:val="24"/>
          <w:szCs w:val="24"/>
        </w:rPr>
        <w:t xml:space="preserve">by a woodlot licensee </w:t>
      </w:r>
      <w:r w:rsidRPr="000001C6">
        <w:rPr>
          <w:rFonts w:ascii="Arial" w:hAnsi="Arial" w:cs="Arial"/>
          <w:sz w:val="24"/>
          <w:szCs w:val="24"/>
        </w:rPr>
        <w:t xml:space="preserve">for </w:t>
      </w:r>
      <w:r w:rsidR="0007485E">
        <w:rPr>
          <w:rFonts w:ascii="Arial" w:hAnsi="Arial" w:cs="Arial"/>
          <w:sz w:val="24"/>
          <w:szCs w:val="24"/>
        </w:rPr>
        <w:t xml:space="preserve">a </w:t>
      </w:r>
      <w:r>
        <w:rPr>
          <w:rFonts w:ascii="Arial" w:hAnsi="Arial" w:cs="Arial"/>
          <w:sz w:val="24"/>
          <w:szCs w:val="24"/>
        </w:rPr>
        <w:t xml:space="preserve">harvest </w:t>
      </w:r>
      <w:r w:rsidRPr="000001C6">
        <w:rPr>
          <w:rFonts w:ascii="Arial" w:hAnsi="Arial" w:cs="Arial"/>
          <w:sz w:val="24"/>
          <w:szCs w:val="24"/>
        </w:rPr>
        <w:t>area I have never seen.</w:t>
      </w:r>
      <w:r w:rsidR="00CA5382">
        <w:rPr>
          <w:rFonts w:ascii="Arial" w:hAnsi="Arial" w:cs="Arial"/>
          <w:sz w:val="24"/>
          <w:szCs w:val="24"/>
        </w:rPr>
        <w:t xml:space="preserve"> </w:t>
      </w:r>
    </w:p>
    <w:p w14:paraId="393DC8D9" w14:textId="70B012CF" w:rsidR="00CA5382" w:rsidRDefault="00CA5382" w:rsidP="00CA5382">
      <w:pPr>
        <w:rPr>
          <w:rFonts w:ascii="Arial" w:hAnsi="Arial" w:cs="Arial"/>
          <w:sz w:val="24"/>
          <w:szCs w:val="24"/>
        </w:rPr>
      </w:pPr>
      <w:r>
        <w:rPr>
          <w:rFonts w:ascii="Arial" w:hAnsi="Arial" w:cs="Arial"/>
          <w:sz w:val="24"/>
          <w:szCs w:val="24"/>
        </w:rPr>
        <w:t xml:space="preserve">That being said, </w:t>
      </w:r>
      <w:r w:rsidRPr="00CA5382">
        <w:rPr>
          <w:rFonts w:ascii="Arial" w:hAnsi="Arial" w:cs="Arial"/>
          <w:sz w:val="24"/>
          <w:szCs w:val="24"/>
        </w:rPr>
        <w:t>t</w:t>
      </w:r>
      <w:r w:rsidRPr="000001C6">
        <w:rPr>
          <w:rFonts w:ascii="Arial" w:hAnsi="Arial" w:cs="Arial"/>
          <w:sz w:val="24"/>
          <w:szCs w:val="24"/>
        </w:rPr>
        <w:t>he fire hazard assessment temp</w:t>
      </w:r>
      <w:r w:rsidRPr="00CA5382">
        <w:rPr>
          <w:rFonts w:ascii="Arial" w:hAnsi="Arial" w:cs="Arial"/>
          <w:sz w:val="24"/>
          <w:szCs w:val="24"/>
        </w:rPr>
        <w:t xml:space="preserve">late has been reviewed by </w:t>
      </w:r>
      <w:r>
        <w:rPr>
          <w:rFonts w:ascii="Arial" w:hAnsi="Arial" w:cs="Arial"/>
          <w:sz w:val="24"/>
          <w:szCs w:val="24"/>
        </w:rPr>
        <w:t>many</w:t>
      </w:r>
      <w:r w:rsidRPr="000001C6">
        <w:rPr>
          <w:rFonts w:ascii="Arial" w:hAnsi="Arial" w:cs="Arial"/>
          <w:sz w:val="24"/>
          <w:szCs w:val="24"/>
        </w:rPr>
        <w:t xml:space="preserve"> </w:t>
      </w:r>
      <w:r w:rsidR="00DD2615">
        <w:rPr>
          <w:rFonts w:ascii="Arial" w:hAnsi="Arial" w:cs="Arial"/>
          <w:sz w:val="24"/>
          <w:szCs w:val="24"/>
        </w:rPr>
        <w:t xml:space="preserve">experienced </w:t>
      </w:r>
      <w:r w:rsidRPr="000001C6">
        <w:rPr>
          <w:rFonts w:ascii="Arial" w:hAnsi="Arial" w:cs="Arial"/>
          <w:sz w:val="24"/>
          <w:szCs w:val="24"/>
        </w:rPr>
        <w:t>woodlot licensees, industry foresters</w:t>
      </w:r>
      <w:r w:rsidR="00DD2615">
        <w:rPr>
          <w:rFonts w:ascii="Arial" w:hAnsi="Arial" w:cs="Arial"/>
          <w:sz w:val="24"/>
          <w:szCs w:val="24"/>
        </w:rPr>
        <w:t>,</w:t>
      </w:r>
      <w:r w:rsidRPr="000001C6">
        <w:rPr>
          <w:rFonts w:ascii="Arial" w:hAnsi="Arial" w:cs="Arial"/>
          <w:sz w:val="24"/>
          <w:szCs w:val="24"/>
        </w:rPr>
        <w:t xml:space="preserve"> the Association of BC Forest Professionals</w:t>
      </w:r>
      <w:r w:rsidR="00DD2615">
        <w:rPr>
          <w:rFonts w:ascii="Arial" w:hAnsi="Arial" w:cs="Arial"/>
          <w:sz w:val="24"/>
          <w:szCs w:val="24"/>
        </w:rPr>
        <w:t xml:space="preserve"> and experts within BC Wildfire Service</w:t>
      </w:r>
      <w:r>
        <w:rPr>
          <w:rFonts w:ascii="Arial" w:hAnsi="Arial" w:cs="Arial"/>
          <w:sz w:val="24"/>
          <w:szCs w:val="24"/>
        </w:rPr>
        <w:t>.</w:t>
      </w:r>
      <w:r w:rsidRPr="000001C6">
        <w:rPr>
          <w:rFonts w:ascii="Arial" w:hAnsi="Arial" w:cs="Arial"/>
          <w:sz w:val="24"/>
          <w:szCs w:val="24"/>
        </w:rPr>
        <w:t xml:space="preserve"> </w:t>
      </w:r>
      <w:r>
        <w:rPr>
          <w:rFonts w:ascii="Arial" w:hAnsi="Arial" w:cs="Arial"/>
          <w:sz w:val="24"/>
          <w:szCs w:val="24"/>
        </w:rPr>
        <w:t>I</w:t>
      </w:r>
      <w:r w:rsidRPr="000001C6">
        <w:rPr>
          <w:rFonts w:ascii="Arial" w:hAnsi="Arial" w:cs="Arial"/>
          <w:sz w:val="24"/>
          <w:szCs w:val="24"/>
        </w:rPr>
        <w:t xml:space="preserve"> believe </w:t>
      </w:r>
      <w:r w:rsidR="00DD2615">
        <w:rPr>
          <w:rFonts w:ascii="Arial" w:hAnsi="Arial" w:cs="Arial"/>
          <w:sz w:val="24"/>
          <w:szCs w:val="24"/>
        </w:rPr>
        <w:t>i</w:t>
      </w:r>
      <w:r w:rsidRPr="000001C6">
        <w:rPr>
          <w:rFonts w:ascii="Arial" w:hAnsi="Arial" w:cs="Arial"/>
          <w:sz w:val="24"/>
          <w:szCs w:val="24"/>
        </w:rPr>
        <w:t>t</w:t>
      </w:r>
      <w:r w:rsidR="00DD2615">
        <w:rPr>
          <w:rFonts w:ascii="Arial" w:hAnsi="Arial" w:cs="Arial"/>
          <w:sz w:val="24"/>
          <w:szCs w:val="24"/>
        </w:rPr>
        <w:t xml:space="preserve"> is</w:t>
      </w:r>
      <w:r w:rsidRPr="000001C6">
        <w:rPr>
          <w:rFonts w:ascii="Arial" w:hAnsi="Arial" w:cs="Arial"/>
          <w:sz w:val="24"/>
          <w:szCs w:val="24"/>
        </w:rPr>
        <w:t xml:space="preserve"> suitable for guiding licensees through an assessment of the fire hazard on typical woodlot licence harvest areas. Th</w:t>
      </w:r>
      <w:r>
        <w:rPr>
          <w:rFonts w:ascii="Arial" w:hAnsi="Arial" w:cs="Arial"/>
          <w:sz w:val="24"/>
          <w:szCs w:val="24"/>
        </w:rPr>
        <w:t>is</w:t>
      </w:r>
      <w:r w:rsidRPr="000001C6">
        <w:rPr>
          <w:rFonts w:ascii="Arial" w:hAnsi="Arial" w:cs="Arial"/>
          <w:sz w:val="24"/>
          <w:szCs w:val="24"/>
        </w:rPr>
        <w:t xml:space="preserve"> document </w:t>
      </w:r>
      <w:r>
        <w:rPr>
          <w:rFonts w:ascii="Arial" w:hAnsi="Arial" w:cs="Arial"/>
          <w:sz w:val="24"/>
          <w:szCs w:val="24"/>
        </w:rPr>
        <w:t>containing the</w:t>
      </w:r>
      <w:r w:rsidRPr="000001C6">
        <w:rPr>
          <w:rFonts w:ascii="Arial" w:hAnsi="Arial" w:cs="Arial"/>
          <w:sz w:val="24"/>
          <w:szCs w:val="24"/>
        </w:rPr>
        <w:t xml:space="preserve"> fire hazard assessment template </w:t>
      </w:r>
      <w:r>
        <w:rPr>
          <w:rFonts w:ascii="Arial" w:hAnsi="Arial" w:cs="Arial"/>
          <w:sz w:val="24"/>
          <w:szCs w:val="24"/>
        </w:rPr>
        <w:t xml:space="preserve">and instructions </w:t>
      </w:r>
      <w:r w:rsidRPr="000001C6">
        <w:rPr>
          <w:rFonts w:ascii="Arial" w:hAnsi="Arial" w:cs="Arial"/>
          <w:sz w:val="24"/>
          <w:szCs w:val="24"/>
        </w:rPr>
        <w:t xml:space="preserve">are available on the </w:t>
      </w:r>
      <w:r w:rsidRPr="00067267">
        <w:rPr>
          <w:rFonts w:ascii="Arial" w:hAnsi="Arial" w:cs="Arial"/>
          <w:sz w:val="24"/>
          <w:szCs w:val="24"/>
        </w:rPr>
        <w:t xml:space="preserve">WPDC page of the website </w:t>
      </w:r>
      <w:hyperlink r:id="rId10" w:history="1">
        <w:r w:rsidRPr="00067267">
          <w:rPr>
            <w:rFonts w:ascii="Arial" w:hAnsi="Arial" w:cs="Arial"/>
            <w:color w:val="0563C1" w:themeColor="hyperlink"/>
            <w:sz w:val="24"/>
            <w:szCs w:val="24"/>
            <w:u w:val="single"/>
          </w:rPr>
          <w:t>www.woodlot.bc.ca</w:t>
        </w:r>
      </w:hyperlink>
      <w:r w:rsidRPr="000001C6">
        <w:rPr>
          <w:rFonts w:ascii="Arial" w:hAnsi="Arial" w:cs="Arial"/>
          <w:sz w:val="24"/>
          <w:szCs w:val="24"/>
        </w:rPr>
        <w:t xml:space="preserve">   </w:t>
      </w:r>
    </w:p>
    <w:p w14:paraId="3AA22961" w14:textId="13B43550" w:rsidR="0007485E" w:rsidRPr="000001C6" w:rsidRDefault="0007485E" w:rsidP="0007485E">
      <w:pPr>
        <w:spacing w:line="256" w:lineRule="auto"/>
        <w:rPr>
          <w:rFonts w:ascii="Arial" w:hAnsi="Arial" w:cs="Arial"/>
          <w:sz w:val="24"/>
          <w:szCs w:val="24"/>
        </w:rPr>
      </w:pPr>
      <w:r w:rsidRPr="000001C6">
        <w:rPr>
          <w:rFonts w:ascii="Arial" w:hAnsi="Arial" w:cs="Arial"/>
          <w:sz w:val="24"/>
          <w:szCs w:val="24"/>
        </w:rPr>
        <w:t>Anyone who has questions, requires clarification or has suggested improvements to the fire hazard assessment template can call Alan Waters</w:t>
      </w:r>
      <w:r w:rsidR="00067267">
        <w:rPr>
          <w:rFonts w:ascii="Arial" w:hAnsi="Arial" w:cs="Arial"/>
          <w:sz w:val="24"/>
          <w:szCs w:val="24"/>
        </w:rPr>
        <w:t>,</w:t>
      </w:r>
      <w:r w:rsidRPr="000001C6">
        <w:rPr>
          <w:rFonts w:ascii="Arial" w:hAnsi="Arial" w:cs="Arial"/>
          <w:sz w:val="24"/>
          <w:szCs w:val="24"/>
        </w:rPr>
        <w:t xml:space="preserve"> RPF at 250-747-0649 or email: </w:t>
      </w:r>
      <w:hyperlink r:id="rId11" w:history="1">
        <w:r w:rsidR="00945F56" w:rsidRPr="00BB1665">
          <w:rPr>
            <w:rStyle w:val="Hyperlink"/>
            <w:rFonts w:ascii="Arial" w:hAnsi="Arial" w:cs="Arial"/>
            <w:sz w:val="24"/>
            <w:szCs w:val="24"/>
          </w:rPr>
          <w:t>alanwaters@quesnelbc.com</w:t>
        </w:r>
      </w:hyperlink>
      <w:r w:rsidR="00945F56">
        <w:rPr>
          <w:rFonts w:ascii="Arial" w:hAnsi="Arial" w:cs="Arial"/>
          <w:sz w:val="24"/>
          <w:szCs w:val="24"/>
        </w:rPr>
        <w:t xml:space="preserve"> </w:t>
      </w:r>
      <w:r w:rsidRPr="000001C6">
        <w:rPr>
          <w:rFonts w:ascii="Arial" w:hAnsi="Arial" w:cs="Arial"/>
          <w:sz w:val="24"/>
          <w:szCs w:val="24"/>
        </w:rPr>
        <w:t xml:space="preserve">A woodlot licensee who is not a forest professional and wants to modify the template may email me and I will review and confirm the modifications, (at no cost), if I feel the modifications are acceptable.  Alternatively a woodlot licensee who is not a forest professional can use their local </w:t>
      </w:r>
      <w:r w:rsidR="00067267">
        <w:rPr>
          <w:rFonts w:ascii="Arial" w:hAnsi="Arial" w:cs="Arial"/>
          <w:sz w:val="24"/>
          <w:szCs w:val="24"/>
        </w:rPr>
        <w:t xml:space="preserve">forest </w:t>
      </w:r>
      <w:r w:rsidRPr="000001C6">
        <w:rPr>
          <w:rFonts w:ascii="Arial" w:hAnsi="Arial" w:cs="Arial"/>
          <w:sz w:val="24"/>
          <w:szCs w:val="24"/>
        </w:rPr>
        <w:t xml:space="preserve">professional to prescribe a modified version of the fire hazard assessment template </w:t>
      </w:r>
      <w:r w:rsidR="00DD2615">
        <w:rPr>
          <w:rFonts w:ascii="Arial" w:hAnsi="Arial" w:cs="Arial"/>
          <w:sz w:val="24"/>
          <w:szCs w:val="24"/>
        </w:rPr>
        <w:t xml:space="preserve">or some other methodology </w:t>
      </w:r>
      <w:r w:rsidRPr="000001C6">
        <w:rPr>
          <w:rFonts w:ascii="Arial" w:hAnsi="Arial" w:cs="Arial"/>
          <w:sz w:val="24"/>
          <w:szCs w:val="24"/>
        </w:rPr>
        <w:t xml:space="preserve">that the woodlot licensee can then use to assess the fire hazard on their woodlot licence harvest areas.  </w:t>
      </w:r>
    </w:p>
    <w:p w14:paraId="19648CDE" w14:textId="77777777" w:rsidR="009D31FC" w:rsidRPr="009D31FC" w:rsidRDefault="009D31FC" w:rsidP="009E503C">
      <w:pPr>
        <w:spacing w:after="40"/>
        <w:rPr>
          <w:rFonts w:ascii="Arial" w:hAnsi="Arial" w:cs="Arial"/>
          <w:b/>
          <w:sz w:val="24"/>
          <w:szCs w:val="24"/>
        </w:rPr>
      </w:pPr>
      <w:r w:rsidRPr="009D31FC">
        <w:rPr>
          <w:rFonts w:ascii="Arial" w:hAnsi="Arial" w:cs="Arial"/>
          <w:b/>
          <w:sz w:val="24"/>
          <w:szCs w:val="24"/>
        </w:rPr>
        <w:t>Suggested Best Practices for Fire Hazard Abatement on Woodlot Licences</w:t>
      </w:r>
      <w:r w:rsidR="00DA0CCA" w:rsidRPr="009D31FC">
        <w:rPr>
          <w:rFonts w:ascii="Arial" w:hAnsi="Arial" w:cs="Arial"/>
          <w:b/>
          <w:sz w:val="24"/>
          <w:szCs w:val="24"/>
        </w:rPr>
        <w:t xml:space="preserve"> </w:t>
      </w:r>
    </w:p>
    <w:p w14:paraId="69A910B1" w14:textId="77777777" w:rsidR="00057AF5" w:rsidRDefault="006E2D8C" w:rsidP="00CA296E">
      <w:pPr>
        <w:pStyle w:val="ListParagraph"/>
        <w:numPr>
          <w:ilvl w:val="0"/>
          <w:numId w:val="10"/>
        </w:numPr>
        <w:contextualSpacing w:val="0"/>
        <w:rPr>
          <w:rFonts w:ascii="Arial" w:hAnsi="Arial" w:cs="Arial"/>
          <w:sz w:val="24"/>
          <w:szCs w:val="24"/>
        </w:rPr>
      </w:pPr>
      <w:r w:rsidRPr="00CA296E">
        <w:rPr>
          <w:rFonts w:ascii="Arial" w:hAnsi="Arial" w:cs="Arial"/>
          <w:sz w:val="24"/>
          <w:szCs w:val="24"/>
        </w:rPr>
        <w:t>Whole tree harvesting</w:t>
      </w:r>
      <w:r w:rsidR="00ED0F55" w:rsidRPr="00CA296E">
        <w:rPr>
          <w:rFonts w:ascii="Arial" w:hAnsi="Arial" w:cs="Arial"/>
          <w:sz w:val="24"/>
          <w:szCs w:val="24"/>
        </w:rPr>
        <w:t xml:space="preserve"> where </w:t>
      </w:r>
      <w:r w:rsidRPr="00CA296E">
        <w:rPr>
          <w:rFonts w:ascii="Arial" w:hAnsi="Arial" w:cs="Arial"/>
          <w:sz w:val="24"/>
          <w:szCs w:val="24"/>
        </w:rPr>
        <w:t xml:space="preserve">the </w:t>
      </w:r>
      <w:r w:rsidR="00ED0F55" w:rsidRPr="00CA296E">
        <w:rPr>
          <w:rFonts w:ascii="Arial" w:hAnsi="Arial" w:cs="Arial"/>
          <w:sz w:val="24"/>
          <w:szCs w:val="24"/>
        </w:rPr>
        <w:t xml:space="preserve">timber is processed at roadside or on landings </w:t>
      </w:r>
      <w:r w:rsidRPr="00CA296E">
        <w:rPr>
          <w:rFonts w:ascii="Arial" w:hAnsi="Arial" w:cs="Arial"/>
          <w:sz w:val="24"/>
          <w:szCs w:val="24"/>
        </w:rPr>
        <w:t xml:space="preserve">can greatly reduce the dispersed fuel hazard on a cutblock because most of the </w:t>
      </w:r>
      <w:r w:rsidR="00ED0F55" w:rsidRPr="00CA296E">
        <w:rPr>
          <w:rFonts w:ascii="Arial" w:hAnsi="Arial" w:cs="Arial"/>
          <w:sz w:val="24"/>
          <w:szCs w:val="24"/>
        </w:rPr>
        <w:t xml:space="preserve">limbs, tops and defective portions of trees </w:t>
      </w:r>
      <w:r w:rsidRPr="00CA296E">
        <w:rPr>
          <w:rFonts w:ascii="Arial" w:hAnsi="Arial" w:cs="Arial"/>
          <w:sz w:val="24"/>
          <w:szCs w:val="24"/>
        </w:rPr>
        <w:t xml:space="preserve">become concentrated </w:t>
      </w:r>
      <w:r w:rsidR="00E24229" w:rsidRPr="00CA296E">
        <w:rPr>
          <w:rFonts w:ascii="Arial" w:hAnsi="Arial" w:cs="Arial"/>
          <w:sz w:val="24"/>
          <w:szCs w:val="24"/>
        </w:rPr>
        <w:t xml:space="preserve">in </w:t>
      </w:r>
      <w:r w:rsidRPr="00CA296E">
        <w:rPr>
          <w:rFonts w:ascii="Arial" w:hAnsi="Arial" w:cs="Arial"/>
          <w:sz w:val="24"/>
          <w:szCs w:val="24"/>
        </w:rPr>
        <w:t xml:space="preserve">slash accumulations at the roadside or </w:t>
      </w:r>
      <w:r w:rsidR="00E24229" w:rsidRPr="00CA296E">
        <w:rPr>
          <w:rFonts w:ascii="Arial" w:hAnsi="Arial" w:cs="Arial"/>
          <w:sz w:val="24"/>
          <w:szCs w:val="24"/>
        </w:rPr>
        <w:t xml:space="preserve">on </w:t>
      </w:r>
      <w:r w:rsidRPr="00CA296E">
        <w:rPr>
          <w:rFonts w:ascii="Arial" w:hAnsi="Arial" w:cs="Arial"/>
          <w:sz w:val="24"/>
          <w:szCs w:val="24"/>
        </w:rPr>
        <w:t>landing</w:t>
      </w:r>
      <w:r w:rsidR="00E24229" w:rsidRPr="00CA296E">
        <w:rPr>
          <w:rFonts w:ascii="Arial" w:hAnsi="Arial" w:cs="Arial"/>
          <w:sz w:val="24"/>
          <w:szCs w:val="24"/>
        </w:rPr>
        <w:t>s</w:t>
      </w:r>
      <w:r w:rsidRPr="00CA296E">
        <w:rPr>
          <w:rFonts w:ascii="Arial" w:hAnsi="Arial" w:cs="Arial"/>
          <w:sz w:val="24"/>
          <w:szCs w:val="24"/>
        </w:rPr>
        <w:t xml:space="preserve">.  </w:t>
      </w:r>
    </w:p>
    <w:p w14:paraId="417CD553" w14:textId="678EBB01" w:rsidR="00B9109E" w:rsidRPr="00CA296E" w:rsidRDefault="00B9109E" w:rsidP="00CA296E">
      <w:pPr>
        <w:pStyle w:val="ListParagraph"/>
        <w:numPr>
          <w:ilvl w:val="0"/>
          <w:numId w:val="10"/>
        </w:numPr>
        <w:contextualSpacing w:val="0"/>
        <w:rPr>
          <w:rFonts w:ascii="Arial" w:hAnsi="Arial" w:cs="Arial"/>
          <w:sz w:val="24"/>
          <w:szCs w:val="24"/>
        </w:rPr>
      </w:pPr>
      <w:r w:rsidRPr="00CA296E">
        <w:rPr>
          <w:rFonts w:ascii="Arial" w:hAnsi="Arial" w:cs="Arial"/>
          <w:sz w:val="24"/>
          <w:szCs w:val="24"/>
        </w:rPr>
        <w:t xml:space="preserve">Utilizing deciduous trees and pulp logs can also reduce </w:t>
      </w:r>
      <w:r w:rsidR="00ED0F55" w:rsidRPr="00CA296E">
        <w:rPr>
          <w:rFonts w:ascii="Arial" w:hAnsi="Arial" w:cs="Arial"/>
          <w:sz w:val="24"/>
          <w:szCs w:val="24"/>
        </w:rPr>
        <w:t xml:space="preserve">the </w:t>
      </w:r>
      <w:r w:rsidRPr="00CA296E">
        <w:rPr>
          <w:rFonts w:ascii="Arial" w:hAnsi="Arial" w:cs="Arial"/>
          <w:sz w:val="24"/>
          <w:szCs w:val="24"/>
        </w:rPr>
        <w:t xml:space="preserve">fuel loading on a cutblock.  </w:t>
      </w:r>
      <w:r w:rsidR="00ED0F55" w:rsidRPr="00CA296E">
        <w:rPr>
          <w:rFonts w:ascii="Arial" w:hAnsi="Arial" w:cs="Arial"/>
          <w:sz w:val="24"/>
          <w:szCs w:val="24"/>
        </w:rPr>
        <w:t xml:space="preserve">Where healthy stands of green timber are processed at roadside </w:t>
      </w:r>
      <w:r w:rsidRPr="00CA296E">
        <w:rPr>
          <w:rFonts w:ascii="Arial" w:hAnsi="Arial" w:cs="Arial"/>
          <w:sz w:val="24"/>
          <w:szCs w:val="24"/>
        </w:rPr>
        <w:t xml:space="preserve">or landings, </w:t>
      </w:r>
      <w:r w:rsidR="00ED0F55" w:rsidRPr="00CA296E">
        <w:rPr>
          <w:rFonts w:ascii="Arial" w:hAnsi="Arial" w:cs="Arial"/>
          <w:sz w:val="24"/>
          <w:szCs w:val="24"/>
        </w:rPr>
        <w:t>(particularly during the summer)</w:t>
      </w:r>
      <w:r w:rsidRPr="00CA296E">
        <w:rPr>
          <w:rFonts w:ascii="Arial" w:hAnsi="Arial" w:cs="Arial"/>
          <w:sz w:val="24"/>
          <w:szCs w:val="24"/>
        </w:rPr>
        <w:t>,</w:t>
      </w:r>
      <w:r w:rsidR="00ED0F55" w:rsidRPr="00CA296E">
        <w:rPr>
          <w:rFonts w:ascii="Arial" w:hAnsi="Arial" w:cs="Arial"/>
          <w:sz w:val="24"/>
          <w:szCs w:val="24"/>
        </w:rPr>
        <w:t xml:space="preserve"> there is often not enough of a fuel hazard to warrant fire hazard abatement treatments on the area</w:t>
      </w:r>
      <w:r w:rsidR="00E24229" w:rsidRPr="00CA296E">
        <w:rPr>
          <w:rFonts w:ascii="Arial" w:hAnsi="Arial" w:cs="Arial"/>
          <w:sz w:val="24"/>
          <w:szCs w:val="24"/>
        </w:rPr>
        <w:t>s</w:t>
      </w:r>
      <w:r w:rsidR="00ED0F55" w:rsidRPr="00CA296E">
        <w:rPr>
          <w:rFonts w:ascii="Arial" w:hAnsi="Arial" w:cs="Arial"/>
          <w:sz w:val="24"/>
          <w:szCs w:val="24"/>
        </w:rPr>
        <w:t xml:space="preserve"> of dispersed fuel. </w:t>
      </w:r>
    </w:p>
    <w:p w14:paraId="4ED59217" w14:textId="516D6CBF" w:rsidR="00057AF5" w:rsidRPr="00CA296E" w:rsidRDefault="00057AF5" w:rsidP="00CA296E">
      <w:pPr>
        <w:pStyle w:val="ListParagraph"/>
        <w:numPr>
          <w:ilvl w:val="0"/>
          <w:numId w:val="10"/>
        </w:numPr>
        <w:contextualSpacing w:val="0"/>
        <w:rPr>
          <w:rFonts w:ascii="Arial" w:hAnsi="Arial" w:cs="Arial"/>
          <w:sz w:val="24"/>
          <w:szCs w:val="24"/>
        </w:rPr>
      </w:pPr>
      <w:r>
        <w:rPr>
          <w:rFonts w:ascii="Arial" w:hAnsi="Arial" w:cs="Arial"/>
          <w:sz w:val="24"/>
          <w:szCs w:val="24"/>
        </w:rPr>
        <w:t>Where a</w:t>
      </w:r>
      <w:r w:rsidR="00ED0F55" w:rsidRPr="00CA296E">
        <w:rPr>
          <w:rFonts w:ascii="Arial" w:hAnsi="Arial" w:cs="Arial"/>
          <w:sz w:val="24"/>
          <w:szCs w:val="24"/>
        </w:rPr>
        <w:t xml:space="preserve"> stand has accumulations of old blowdown, dead standing trees that are no longer </w:t>
      </w:r>
      <w:r w:rsidR="003B7442" w:rsidRPr="00CA296E">
        <w:rPr>
          <w:rFonts w:ascii="Arial" w:hAnsi="Arial" w:cs="Arial"/>
          <w:sz w:val="24"/>
          <w:szCs w:val="24"/>
        </w:rPr>
        <w:t>merchantable</w:t>
      </w:r>
      <w:r w:rsidRPr="00CA296E">
        <w:rPr>
          <w:rFonts w:ascii="Arial" w:hAnsi="Arial" w:cs="Arial"/>
          <w:sz w:val="24"/>
          <w:szCs w:val="24"/>
        </w:rPr>
        <w:t>,</w:t>
      </w:r>
      <w:r w:rsidR="003B7442" w:rsidRPr="00CA296E">
        <w:rPr>
          <w:rFonts w:ascii="Arial" w:hAnsi="Arial" w:cs="Arial"/>
          <w:sz w:val="24"/>
          <w:szCs w:val="24"/>
        </w:rPr>
        <w:t xml:space="preserve"> or a thick understory of unacceptable conifers</w:t>
      </w:r>
      <w:r w:rsidRPr="00CA296E">
        <w:rPr>
          <w:rFonts w:ascii="Arial" w:hAnsi="Arial" w:cs="Arial"/>
          <w:sz w:val="24"/>
          <w:szCs w:val="24"/>
        </w:rPr>
        <w:t>,</w:t>
      </w:r>
      <w:r w:rsidR="003B7442" w:rsidRPr="00CA296E">
        <w:rPr>
          <w:rFonts w:ascii="Arial" w:hAnsi="Arial" w:cs="Arial"/>
          <w:sz w:val="24"/>
          <w:szCs w:val="24"/>
        </w:rPr>
        <w:t xml:space="preserve"> the fuel hazard associated with the dispersed slash can increase significantly</w:t>
      </w:r>
      <w:r w:rsidR="00B50FE0" w:rsidRPr="00CA296E">
        <w:rPr>
          <w:rFonts w:ascii="Arial" w:hAnsi="Arial" w:cs="Arial"/>
          <w:sz w:val="24"/>
          <w:szCs w:val="24"/>
        </w:rPr>
        <w:t xml:space="preserve"> and </w:t>
      </w:r>
      <w:r w:rsidR="00E24229" w:rsidRPr="00CA296E">
        <w:rPr>
          <w:rFonts w:ascii="Arial" w:hAnsi="Arial" w:cs="Arial"/>
          <w:sz w:val="24"/>
          <w:szCs w:val="24"/>
        </w:rPr>
        <w:t>necessitate</w:t>
      </w:r>
      <w:r w:rsidR="00B50FE0" w:rsidRPr="00CA296E">
        <w:rPr>
          <w:rFonts w:ascii="Arial" w:hAnsi="Arial" w:cs="Arial"/>
          <w:sz w:val="24"/>
          <w:szCs w:val="24"/>
        </w:rPr>
        <w:t xml:space="preserve"> abatement</w:t>
      </w:r>
      <w:r w:rsidR="003B7442" w:rsidRPr="00CA296E">
        <w:rPr>
          <w:rFonts w:ascii="Arial" w:hAnsi="Arial" w:cs="Arial"/>
          <w:sz w:val="24"/>
          <w:szCs w:val="24"/>
        </w:rPr>
        <w:t xml:space="preserve">. </w:t>
      </w:r>
      <w:r w:rsidR="00ED0F55" w:rsidRPr="00CA296E">
        <w:rPr>
          <w:rFonts w:ascii="Arial" w:hAnsi="Arial" w:cs="Arial"/>
          <w:sz w:val="24"/>
          <w:szCs w:val="24"/>
        </w:rPr>
        <w:t xml:space="preserve"> </w:t>
      </w:r>
    </w:p>
    <w:p w14:paraId="6D109F3A" w14:textId="3B769241" w:rsidR="00B50FE0" w:rsidRPr="00CA296E" w:rsidRDefault="003B7442" w:rsidP="00CA296E">
      <w:pPr>
        <w:pStyle w:val="ListParagraph"/>
        <w:numPr>
          <w:ilvl w:val="0"/>
          <w:numId w:val="10"/>
        </w:numPr>
        <w:contextualSpacing w:val="0"/>
        <w:rPr>
          <w:rFonts w:ascii="Arial" w:hAnsi="Arial" w:cs="Arial"/>
          <w:sz w:val="24"/>
          <w:szCs w:val="24"/>
        </w:rPr>
      </w:pPr>
      <w:r w:rsidRPr="00CA296E">
        <w:rPr>
          <w:rFonts w:ascii="Arial" w:hAnsi="Arial" w:cs="Arial"/>
          <w:sz w:val="24"/>
          <w:szCs w:val="24"/>
        </w:rPr>
        <w:t>Winter harvesting in the interior can also significantly increase the dispersed fuel loading a</w:t>
      </w:r>
      <w:r w:rsidR="00B50FE0" w:rsidRPr="00CA296E">
        <w:rPr>
          <w:rFonts w:ascii="Arial" w:hAnsi="Arial" w:cs="Arial"/>
          <w:sz w:val="24"/>
          <w:szCs w:val="24"/>
        </w:rPr>
        <w:t>s</w:t>
      </w:r>
      <w:r w:rsidRPr="00CA296E">
        <w:rPr>
          <w:rFonts w:ascii="Arial" w:hAnsi="Arial" w:cs="Arial"/>
          <w:sz w:val="24"/>
          <w:szCs w:val="24"/>
        </w:rPr>
        <w:t xml:space="preserve"> frozen temperat</w:t>
      </w:r>
      <w:r w:rsidR="00B02F8D" w:rsidRPr="00CA296E">
        <w:rPr>
          <w:rFonts w:ascii="Arial" w:hAnsi="Arial" w:cs="Arial"/>
          <w:sz w:val="24"/>
          <w:szCs w:val="24"/>
        </w:rPr>
        <w:t>ur</w:t>
      </w:r>
      <w:r w:rsidRPr="00CA296E">
        <w:rPr>
          <w:rFonts w:ascii="Arial" w:hAnsi="Arial" w:cs="Arial"/>
          <w:sz w:val="24"/>
          <w:szCs w:val="24"/>
        </w:rPr>
        <w:t>es greatly increase the breakage of branches</w:t>
      </w:r>
      <w:r w:rsidR="008F2110" w:rsidRPr="00CA296E">
        <w:rPr>
          <w:rFonts w:ascii="Arial" w:hAnsi="Arial" w:cs="Arial"/>
          <w:sz w:val="24"/>
          <w:szCs w:val="24"/>
        </w:rPr>
        <w:t xml:space="preserve"> and tree tops</w:t>
      </w:r>
      <w:r w:rsidRPr="00CA296E">
        <w:rPr>
          <w:rFonts w:ascii="Arial" w:hAnsi="Arial" w:cs="Arial"/>
          <w:sz w:val="24"/>
          <w:szCs w:val="24"/>
        </w:rPr>
        <w:t xml:space="preserve"> during felling, skidding </w:t>
      </w:r>
      <w:r w:rsidR="00ED0F55" w:rsidRPr="00CA296E">
        <w:rPr>
          <w:rFonts w:ascii="Arial" w:hAnsi="Arial" w:cs="Arial"/>
          <w:sz w:val="24"/>
          <w:szCs w:val="24"/>
        </w:rPr>
        <w:t>o</w:t>
      </w:r>
      <w:r w:rsidRPr="00CA296E">
        <w:rPr>
          <w:rFonts w:ascii="Arial" w:hAnsi="Arial" w:cs="Arial"/>
          <w:sz w:val="24"/>
          <w:szCs w:val="24"/>
        </w:rPr>
        <w:t xml:space="preserve">r yarding. </w:t>
      </w:r>
    </w:p>
    <w:p w14:paraId="31B95840" w14:textId="59719621" w:rsidR="00ED0F55" w:rsidRPr="00CA296E" w:rsidRDefault="00057AF5" w:rsidP="00CA296E">
      <w:pPr>
        <w:pStyle w:val="ListParagraph"/>
        <w:numPr>
          <w:ilvl w:val="0"/>
          <w:numId w:val="10"/>
        </w:numPr>
        <w:contextualSpacing w:val="0"/>
        <w:rPr>
          <w:rFonts w:ascii="Arial" w:hAnsi="Arial" w:cs="Arial"/>
          <w:sz w:val="24"/>
          <w:szCs w:val="24"/>
        </w:rPr>
      </w:pPr>
      <w:r>
        <w:rPr>
          <w:rFonts w:ascii="Arial" w:hAnsi="Arial" w:cs="Arial"/>
          <w:sz w:val="24"/>
          <w:szCs w:val="24"/>
        </w:rPr>
        <w:t>Where</w:t>
      </w:r>
      <w:r w:rsidR="00ED0F55" w:rsidRPr="00CA296E">
        <w:rPr>
          <w:rFonts w:ascii="Arial" w:hAnsi="Arial" w:cs="Arial"/>
          <w:sz w:val="24"/>
          <w:szCs w:val="24"/>
        </w:rPr>
        <w:t xml:space="preserve"> trees are processed ‘at the stump’ without creating slash accumulations at roadsides or landings then the fire hazard assessment only needs to address the fuel hazard associated </w:t>
      </w:r>
      <w:r w:rsidR="00ED0F55" w:rsidRPr="00CA296E">
        <w:rPr>
          <w:rFonts w:ascii="Arial" w:hAnsi="Arial" w:cs="Arial"/>
          <w:sz w:val="24"/>
          <w:szCs w:val="24"/>
        </w:rPr>
        <w:lastRenderedPageBreak/>
        <w:t>with the dispersed slash.</w:t>
      </w:r>
      <w:r w:rsidR="00B50FE0" w:rsidRPr="00CA296E">
        <w:rPr>
          <w:rFonts w:ascii="Arial" w:hAnsi="Arial" w:cs="Arial"/>
          <w:sz w:val="24"/>
          <w:szCs w:val="24"/>
        </w:rPr>
        <w:t xml:space="preserve"> </w:t>
      </w:r>
      <w:r w:rsidR="00B9109E" w:rsidRPr="00CA296E">
        <w:rPr>
          <w:rFonts w:ascii="Arial" w:hAnsi="Arial" w:cs="Arial"/>
          <w:sz w:val="24"/>
          <w:szCs w:val="24"/>
        </w:rPr>
        <w:t>Processing at the stump creates considerably more fuel loading on the areas of dispersed slash than when trees are processed at roadside or on landings.</w:t>
      </w:r>
    </w:p>
    <w:p w14:paraId="1E77B9FB" w14:textId="77777777" w:rsidR="00CA296E" w:rsidRDefault="00ED0F55" w:rsidP="00CA296E">
      <w:pPr>
        <w:pStyle w:val="ListParagraph"/>
        <w:numPr>
          <w:ilvl w:val="0"/>
          <w:numId w:val="10"/>
        </w:numPr>
        <w:contextualSpacing w:val="0"/>
        <w:rPr>
          <w:rFonts w:ascii="Arial" w:hAnsi="Arial" w:cs="Arial"/>
          <w:sz w:val="24"/>
          <w:szCs w:val="24"/>
        </w:rPr>
      </w:pPr>
      <w:r w:rsidRPr="00CA296E">
        <w:rPr>
          <w:rFonts w:ascii="Arial" w:hAnsi="Arial" w:cs="Arial"/>
          <w:sz w:val="24"/>
          <w:szCs w:val="24"/>
        </w:rPr>
        <w:t>Where a significant amount of timber is processed at roadside or on landings</w:t>
      </w:r>
      <w:r w:rsidR="00057AF5">
        <w:rPr>
          <w:rFonts w:ascii="Arial" w:hAnsi="Arial" w:cs="Arial"/>
          <w:sz w:val="24"/>
          <w:szCs w:val="24"/>
        </w:rPr>
        <w:t>,</w:t>
      </w:r>
      <w:r w:rsidRPr="00CA296E">
        <w:rPr>
          <w:rFonts w:ascii="Arial" w:hAnsi="Arial" w:cs="Arial"/>
          <w:sz w:val="24"/>
          <w:szCs w:val="24"/>
        </w:rPr>
        <w:t xml:space="preserve"> the resulting large slash accumulations will almost always represent a significant fuel hazard that warrants abatement</w:t>
      </w:r>
      <w:r w:rsidR="00057AF5">
        <w:rPr>
          <w:rFonts w:ascii="Arial" w:hAnsi="Arial" w:cs="Arial"/>
          <w:sz w:val="24"/>
          <w:szCs w:val="24"/>
        </w:rPr>
        <w:t>.</w:t>
      </w:r>
      <w:r w:rsidR="00CA296E">
        <w:rPr>
          <w:rFonts w:ascii="Arial" w:hAnsi="Arial" w:cs="Arial"/>
          <w:sz w:val="24"/>
          <w:szCs w:val="24"/>
        </w:rPr>
        <w:t xml:space="preserve"> </w:t>
      </w:r>
      <w:r w:rsidR="00057AF5">
        <w:rPr>
          <w:rFonts w:ascii="Arial" w:hAnsi="Arial" w:cs="Arial"/>
          <w:sz w:val="24"/>
          <w:szCs w:val="24"/>
        </w:rPr>
        <w:t>Such</w:t>
      </w:r>
      <w:r w:rsidRPr="00CA296E">
        <w:rPr>
          <w:rFonts w:ascii="Arial" w:hAnsi="Arial" w:cs="Arial"/>
          <w:sz w:val="24"/>
          <w:szCs w:val="24"/>
        </w:rPr>
        <w:t xml:space="preserve"> slash accumulations ignited during the dry part of fire season would burn intensely, shower the surrounding area of fresh slash with burning embers</w:t>
      </w:r>
      <w:r w:rsidR="00057AF5">
        <w:rPr>
          <w:rFonts w:ascii="Arial" w:hAnsi="Arial" w:cs="Arial"/>
          <w:sz w:val="24"/>
          <w:szCs w:val="24"/>
        </w:rPr>
        <w:t>,</w:t>
      </w:r>
      <w:r w:rsidRPr="00CA296E">
        <w:rPr>
          <w:rFonts w:ascii="Arial" w:hAnsi="Arial" w:cs="Arial"/>
          <w:sz w:val="24"/>
          <w:szCs w:val="24"/>
        </w:rPr>
        <w:t xml:space="preserve"> and </w:t>
      </w:r>
      <w:r w:rsidR="00057AF5">
        <w:rPr>
          <w:rFonts w:ascii="Arial" w:hAnsi="Arial" w:cs="Arial"/>
          <w:sz w:val="24"/>
          <w:szCs w:val="24"/>
        </w:rPr>
        <w:t>potentially</w:t>
      </w:r>
      <w:r w:rsidR="006D4AD0" w:rsidRPr="00CA296E">
        <w:rPr>
          <w:rFonts w:ascii="Arial" w:hAnsi="Arial" w:cs="Arial"/>
          <w:sz w:val="24"/>
          <w:szCs w:val="24"/>
        </w:rPr>
        <w:t xml:space="preserve"> </w:t>
      </w:r>
      <w:r w:rsidRPr="00CA296E">
        <w:rPr>
          <w:rFonts w:ascii="Arial" w:hAnsi="Arial" w:cs="Arial"/>
          <w:sz w:val="24"/>
          <w:szCs w:val="24"/>
        </w:rPr>
        <w:t xml:space="preserve">initiate a rapidly spreading wildfire that </w:t>
      </w:r>
      <w:r w:rsidR="00B02F8D" w:rsidRPr="00CA296E">
        <w:rPr>
          <w:rFonts w:ascii="Arial" w:hAnsi="Arial" w:cs="Arial"/>
          <w:sz w:val="24"/>
          <w:szCs w:val="24"/>
        </w:rPr>
        <w:t>w</w:t>
      </w:r>
      <w:r w:rsidRPr="00CA296E">
        <w:rPr>
          <w:rFonts w:ascii="Arial" w:hAnsi="Arial" w:cs="Arial"/>
          <w:sz w:val="24"/>
          <w:szCs w:val="24"/>
        </w:rPr>
        <w:t>ould be difficult to control.</w:t>
      </w:r>
      <w:r w:rsidR="00CA296E">
        <w:rPr>
          <w:rFonts w:ascii="Arial" w:hAnsi="Arial" w:cs="Arial"/>
          <w:sz w:val="24"/>
          <w:szCs w:val="24"/>
        </w:rPr>
        <w:t xml:space="preserve"> </w:t>
      </w:r>
    </w:p>
    <w:p w14:paraId="2E7B638C" w14:textId="722691DF" w:rsidR="00ED0F55" w:rsidRPr="00CA296E" w:rsidRDefault="00ED0F55" w:rsidP="00CA296E">
      <w:pPr>
        <w:pStyle w:val="ListParagraph"/>
        <w:numPr>
          <w:ilvl w:val="0"/>
          <w:numId w:val="10"/>
        </w:numPr>
        <w:contextualSpacing w:val="0"/>
        <w:rPr>
          <w:rFonts w:ascii="Arial" w:hAnsi="Arial" w:cs="Arial"/>
          <w:sz w:val="24"/>
          <w:szCs w:val="24"/>
        </w:rPr>
      </w:pPr>
      <w:r w:rsidRPr="00CA296E">
        <w:rPr>
          <w:rFonts w:ascii="Arial" w:hAnsi="Arial" w:cs="Arial"/>
          <w:sz w:val="24"/>
          <w:szCs w:val="24"/>
        </w:rPr>
        <w:t xml:space="preserve">Large slash accumulations </w:t>
      </w:r>
      <w:r w:rsidR="003B7442" w:rsidRPr="00CA296E">
        <w:rPr>
          <w:rFonts w:ascii="Arial" w:hAnsi="Arial" w:cs="Arial"/>
          <w:sz w:val="24"/>
          <w:szCs w:val="24"/>
        </w:rPr>
        <w:t xml:space="preserve">should not be located </w:t>
      </w:r>
      <w:r w:rsidRPr="00CA296E">
        <w:rPr>
          <w:rFonts w:ascii="Arial" w:hAnsi="Arial" w:cs="Arial"/>
          <w:sz w:val="24"/>
          <w:szCs w:val="24"/>
        </w:rPr>
        <w:t xml:space="preserve">close enough to standing timber to scorch the timber </w:t>
      </w:r>
      <w:r w:rsidR="00B02F8D" w:rsidRPr="00CA296E">
        <w:rPr>
          <w:rFonts w:ascii="Arial" w:hAnsi="Arial" w:cs="Arial"/>
          <w:sz w:val="24"/>
          <w:szCs w:val="24"/>
        </w:rPr>
        <w:t xml:space="preserve">and </w:t>
      </w:r>
      <w:r w:rsidRPr="00CA296E">
        <w:rPr>
          <w:rFonts w:ascii="Arial" w:hAnsi="Arial" w:cs="Arial"/>
          <w:sz w:val="24"/>
          <w:szCs w:val="24"/>
        </w:rPr>
        <w:t xml:space="preserve">increase the risk that a crown fire could occur under dry, windy conditions.    </w:t>
      </w:r>
    </w:p>
    <w:p w14:paraId="4EA6B299" w14:textId="09ED4BDD" w:rsidR="00DB4859" w:rsidRPr="00CA296E" w:rsidRDefault="00ED0F55" w:rsidP="00057AF5">
      <w:pPr>
        <w:rPr>
          <w:rFonts w:ascii="Arial" w:hAnsi="Arial" w:cs="Arial"/>
          <w:sz w:val="24"/>
          <w:szCs w:val="24"/>
        </w:rPr>
      </w:pPr>
      <w:r w:rsidRPr="00CA296E">
        <w:rPr>
          <w:rFonts w:ascii="Arial" w:hAnsi="Arial" w:cs="Arial"/>
          <w:sz w:val="24"/>
          <w:szCs w:val="24"/>
        </w:rPr>
        <w:t xml:space="preserve">The need to abate the fire hazard associated with large slash accumulations at roadsides and landings has been well accepted for many decades in BC and standard practice resulted in these slash accumulations being burnt as soon as they are adequately cured and safe to ignite.  </w:t>
      </w:r>
      <w:r w:rsidR="003B7442" w:rsidRPr="00CA296E">
        <w:rPr>
          <w:rFonts w:ascii="Arial" w:hAnsi="Arial" w:cs="Arial"/>
          <w:sz w:val="24"/>
          <w:szCs w:val="24"/>
        </w:rPr>
        <w:t xml:space="preserve">A conscientious job of piling the roadside slash accumulations </w:t>
      </w:r>
      <w:r w:rsidR="00B9109E" w:rsidRPr="00CA296E">
        <w:rPr>
          <w:rFonts w:ascii="Arial" w:hAnsi="Arial" w:cs="Arial"/>
          <w:sz w:val="24"/>
          <w:szCs w:val="24"/>
        </w:rPr>
        <w:t xml:space="preserve">will </w:t>
      </w:r>
      <w:r w:rsidR="003B7442" w:rsidRPr="00CA296E">
        <w:rPr>
          <w:rFonts w:ascii="Arial" w:hAnsi="Arial" w:cs="Arial"/>
          <w:sz w:val="24"/>
          <w:szCs w:val="24"/>
        </w:rPr>
        <w:t xml:space="preserve">results in more complete elimination of the fire hazard if abatement is </w:t>
      </w:r>
      <w:r w:rsidR="00B02F8D" w:rsidRPr="00CA296E">
        <w:rPr>
          <w:rFonts w:ascii="Arial" w:hAnsi="Arial" w:cs="Arial"/>
          <w:sz w:val="24"/>
          <w:szCs w:val="24"/>
        </w:rPr>
        <w:t xml:space="preserve">accomplished </w:t>
      </w:r>
      <w:r w:rsidR="003B7442" w:rsidRPr="00CA296E">
        <w:rPr>
          <w:rFonts w:ascii="Arial" w:hAnsi="Arial" w:cs="Arial"/>
          <w:sz w:val="24"/>
          <w:szCs w:val="24"/>
        </w:rPr>
        <w:t xml:space="preserve">by burning. </w:t>
      </w:r>
      <w:r w:rsidR="00DB4859" w:rsidRPr="00CA296E">
        <w:rPr>
          <w:rFonts w:ascii="Arial" w:hAnsi="Arial" w:cs="Arial"/>
          <w:sz w:val="24"/>
          <w:szCs w:val="24"/>
        </w:rPr>
        <w:t xml:space="preserve">If harvesting contractors are not closely supervised they will often leave a deep </w:t>
      </w:r>
      <w:r w:rsidR="001253CC">
        <w:rPr>
          <w:rFonts w:ascii="Arial" w:hAnsi="Arial" w:cs="Arial"/>
          <w:sz w:val="24"/>
          <w:szCs w:val="24"/>
        </w:rPr>
        <w:t xml:space="preserve">(&gt; 50 cm) </w:t>
      </w:r>
      <w:r w:rsidR="00DB4859" w:rsidRPr="00CA296E">
        <w:rPr>
          <w:rFonts w:ascii="Arial" w:hAnsi="Arial" w:cs="Arial"/>
          <w:sz w:val="24"/>
          <w:szCs w:val="24"/>
        </w:rPr>
        <w:t xml:space="preserve">mat of limbs next to the piles of </w:t>
      </w:r>
      <w:r w:rsidR="00B9109E" w:rsidRPr="00CA296E">
        <w:rPr>
          <w:rFonts w:ascii="Arial" w:hAnsi="Arial" w:cs="Arial"/>
          <w:sz w:val="24"/>
          <w:szCs w:val="24"/>
        </w:rPr>
        <w:t>cull logs and tops and these thick mats of limbs</w:t>
      </w:r>
      <w:r w:rsidR="00DB4859" w:rsidRPr="00CA296E">
        <w:rPr>
          <w:rFonts w:ascii="Arial" w:hAnsi="Arial" w:cs="Arial"/>
          <w:sz w:val="24"/>
          <w:szCs w:val="24"/>
        </w:rPr>
        <w:t xml:space="preserve"> will be very difficult to bur</w:t>
      </w:r>
      <w:r w:rsidR="00B02F8D" w:rsidRPr="00CA296E">
        <w:rPr>
          <w:rFonts w:ascii="Arial" w:hAnsi="Arial" w:cs="Arial"/>
          <w:sz w:val="24"/>
          <w:szCs w:val="24"/>
        </w:rPr>
        <w:t>n and regenerate</w:t>
      </w:r>
      <w:r w:rsidR="00DB4859" w:rsidRPr="00CA296E">
        <w:rPr>
          <w:rFonts w:ascii="Arial" w:hAnsi="Arial" w:cs="Arial"/>
          <w:sz w:val="24"/>
          <w:szCs w:val="24"/>
        </w:rPr>
        <w:t xml:space="preserve">.  </w:t>
      </w:r>
      <w:r w:rsidR="009A6D16">
        <w:rPr>
          <w:rFonts w:ascii="Arial" w:hAnsi="Arial" w:cs="Arial"/>
          <w:sz w:val="24"/>
          <w:szCs w:val="24"/>
        </w:rPr>
        <w:t>Hand or machine p</w:t>
      </w:r>
      <w:r w:rsidR="009A6D16" w:rsidRPr="00CA296E">
        <w:rPr>
          <w:rFonts w:ascii="Arial" w:hAnsi="Arial" w:cs="Arial"/>
          <w:sz w:val="24"/>
          <w:szCs w:val="24"/>
        </w:rPr>
        <w:t xml:space="preserve">iling </w:t>
      </w:r>
      <w:r w:rsidR="006D4AD0" w:rsidRPr="00CA296E">
        <w:rPr>
          <w:rFonts w:ascii="Arial" w:hAnsi="Arial" w:cs="Arial"/>
          <w:sz w:val="24"/>
          <w:szCs w:val="24"/>
        </w:rPr>
        <w:t xml:space="preserve">and burning </w:t>
      </w:r>
      <w:r w:rsidR="0048674B">
        <w:rPr>
          <w:rFonts w:ascii="Arial" w:hAnsi="Arial" w:cs="Arial"/>
          <w:sz w:val="24"/>
          <w:szCs w:val="24"/>
        </w:rPr>
        <w:t xml:space="preserve">dispersed </w:t>
      </w:r>
      <w:r w:rsidR="006D4AD0" w:rsidRPr="00CA296E">
        <w:rPr>
          <w:rFonts w:ascii="Arial" w:hAnsi="Arial" w:cs="Arial"/>
          <w:sz w:val="24"/>
          <w:szCs w:val="24"/>
        </w:rPr>
        <w:t xml:space="preserve">slash accumulations away from roadsides and landings is an effective method of abating the </w:t>
      </w:r>
      <w:r w:rsidR="0048674B">
        <w:rPr>
          <w:rFonts w:ascii="Arial" w:hAnsi="Arial" w:cs="Arial"/>
          <w:sz w:val="24"/>
          <w:szCs w:val="24"/>
        </w:rPr>
        <w:t xml:space="preserve">associated </w:t>
      </w:r>
      <w:r w:rsidR="006D4AD0" w:rsidRPr="00CA296E">
        <w:rPr>
          <w:rFonts w:ascii="Arial" w:hAnsi="Arial" w:cs="Arial"/>
          <w:sz w:val="24"/>
          <w:szCs w:val="24"/>
        </w:rPr>
        <w:t>fire hazard.</w:t>
      </w:r>
    </w:p>
    <w:p w14:paraId="6C1E6F05" w14:textId="383A5456" w:rsidR="00ED0F55" w:rsidRDefault="00ED0F55" w:rsidP="00ED0F55">
      <w:pPr>
        <w:rPr>
          <w:rFonts w:ascii="Arial" w:hAnsi="Arial" w:cs="Arial"/>
          <w:sz w:val="24"/>
          <w:szCs w:val="24"/>
        </w:rPr>
      </w:pPr>
      <w:r>
        <w:rPr>
          <w:rFonts w:ascii="Arial" w:hAnsi="Arial" w:cs="Arial"/>
          <w:sz w:val="24"/>
          <w:szCs w:val="24"/>
        </w:rPr>
        <w:t xml:space="preserve">In more recent times a desire to reduce the amount of burning has resulted in some of these slash accumulations being chipped or ground into fiber that is removed and utilized. </w:t>
      </w:r>
      <w:r w:rsidR="00B02F8D">
        <w:rPr>
          <w:rFonts w:ascii="Arial" w:hAnsi="Arial" w:cs="Arial"/>
          <w:sz w:val="24"/>
          <w:szCs w:val="24"/>
        </w:rPr>
        <w:t xml:space="preserve">Good supervision of the chipping contractor is still required to make sure the </w:t>
      </w:r>
      <w:r w:rsidR="009A6D16">
        <w:rPr>
          <w:rFonts w:ascii="Arial" w:hAnsi="Arial" w:cs="Arial"/>
          <w:sz w:val="24"/>
          <w:szCs w:val="24"/>
        </w:rPr>
        <w:t xml:space="preserve">fuel </w:t>
      </w:r>
      <w:r w:rsidR="00B02F8D">
        <w:rPr>
          <w:rFonts w:ascii="Arial" w:hAnsi="Arial" w:cs="Arial"/>
          <w:sz w:val="24"/>
          <w:szCs w:val="24"/>
        </w:rPr>
        <w:t xml:space="preserve">hazard is sufficiently eliminated.  </w:t>
      </w:r>
      <w:r>
        <w:rPr>
          <w:rFonts w:ascii="Arial" w:hAnsi="Arial" w:cs="Arial"/>
          <w:sz w:val="24"/>
          <w:szCs w:val="24"/>
        </w:rPr>
        <w:t xml:space="preserve">A few small slash accumulations are sometimes left to provide habitat for small mammals. </w:t>
      </w:r>
      <w:r w:rsidR="006D4AD0">
        <w:rPr>
          <w:rFonts w:ascii="Arial" w:hAnsi="Arial" w:cs="Arial"/>
          <w:sz w:val="24"/>
          <w:szCs w:val="24"/>
        </w:rPr>
        <w:t xml:space="preserve">Creating such “critter piles” away from roads, keeping these piles small and in wet locations and using deciduous logs with minimal incorporated fine fuels are all strategies that can reduce the risk of </w:t>
      </w:r>
      <w:r w:rsidR="008F2110">
        <w:rPr>
          <w:rFonts w:ascii="Arial" w:hAnsi="Arial" w:cs="Arial"/>
          <w:sz w:val="24"/>
          <w:szCs w:val="24"/>
        </w:rPr>
        <w:t>these piles being a fire hazard.</w:t>
      </w:r>
      <w:r w:rsidR="006D4AD0">
        <w:rPr>
          <w:rFonts w:ascii="Arial" w:hAnsi="Arial" w:cs="Arial"/>
          <w:sz w:val="24"/>
          <w:szCs w:val="24"/>
        </w:rPr>
        <w:t xml:space="preserve"> </w:t>
      </w:r>
      <w:r>
        <w:rPr>
          <w:rFonts w:ascii="Arial" w:hAnsi="Arial" w:cs="Arial"/>
          <w:sz w:val="24"/>
          <w:szCs w:val="24"/>
        </w:rPr>
        <w:t xml:space="preserve"> </w:t>
      </w:r>
    </w:p>
    <w:p w14:paraId="6696120B" w14:textId="571AB92D" w:rsidR="00ED0F55" w:rsidRDefault="00B02F8D" w:rsidP="00ED0F55">
      <w:pPr>
        <w:rPr>
          <w:rFonts w:ascii="Arial" w:hAnsi="Arial" w:cs="Arial"/>
          <w:sz w:val="24"/>
          <w:szCs w:val="24"/>
        </w:rPr>
      </w:pPr>
      <w:r>
        <w:rPr>
          <w:rFonts w:ascii="Arial" w:hAnsi="Arial" w:cs="Arial"/>
          <w:sz w:val="24"/>
          <w:szCs w:val="24"/>
        </w:rPr>
        <w:t xml:space="preserve">The bottom line is that </w:t>
      </w:r>
      <w:r w:rsidRPr="00CA296E">
        <w:rPr>
          <w:rFonts w:ascii="Arial" w:hAnsi="Arial" w:cs="Arial"/>
          <w:b/>
          <w:bCs/>
          <w:sz w:val="24"/>
          <w:szCs w:val="24"/>
        </w:rPr>
        <w:t xml:space="preserve">executing a high standard of fire hazard abatement on woodlot licence harvest areas is the best insurance a licensee can get in reducing the risk of wildfire </w:t>
      </w:r>
      <w:r w:rsidR="00C93EB5" w:rsidRPr="00CA296E">
        <w:rPr>
          <w:rFonts w:ascii="Arial" w:hAnsi="Arial" w:cs="Arial"/>
          <w:b/>
          <w:bCs/>
          <w:sz w:val="24"/>
          <w:szCs w:val="24"/>
        </w:rPr>
        <w:t>destroying their woodlot licence</w:t>
      </w:r>
      <w:r w:rsidR="00C93EB5">
        <w:rPr>
          <w:rFonts w:ascii="Arial" w:hAnsi="Arial" w:cs="Arial"/>
          <w:sz w:val="24"/>
          <w:szCs w:val="24"/>
        </w:rPr>
        <w:t xml:space="preserve">. Decades of wildfire research </w:t>
      </w:r>
      <w:r w:rsidR="00F54DA3">
        <w:rPr>
          <w:rFonts w:ascii="Arial" w:hAnsi="Arial" w:cs="Arial"/>
          <w:sz w:val="24"/>
          <w:szCs w:val="24"/>
        </w:rPr>
        <w:t xml:space="preserve">and examination of large wildfires </w:t>
      </w:r>
      <w:r w:rsidR="00C93EB5">
        <w:rPr>
          <w:rFonts w:ascii="Arial" w:hAnsi="Arial" w:cs="Arial"/>
          <w:sz w:val="24"/>
          <w:szCs w:val="24"/>
        </w:rPr>
        <w:t>shows that wildfire spread most rapidly in areas where there is an abundance of dry</w:t>
      </w:r>
      <w:r w:rsidR="008F2110">
        <w:rPr>
          <w:rFonts w:ascii="Arial" w:hAnsi="Arial" w:cs="Arial"/>
          <w:sz w:val="24"/>
          <w:szCs w:val="24"/>
        </w:rPr>
        <w:t>,</w:t>
      </w:r>
      <w:r w:rsidR="00C93EB5">
        <w:rPr>
          <w:rFonts w:ascii="Arial" w:hAnsi="Arial" w:cs="Arial"/>
          <w:sz w:val="24"/>
          <w:szCs w:val="24"/>
        </w:rPr>
        <w:t xml:space="preserve"> </w:t>
      </w:r>
      <w:r w:rsidR="008F2110">
        <w:rPr>
          <w:rFonts w:ascii="Arial" w:hAnsi="Arial" w:cs="Arial"/>
          <w:sz w:val="24"/>
          <w:szCs w:val="24"/>
        </w:rPr>
        <w:t xml:space="preserve">fine </w:t>
      </w:r>
      <w:r w:rsidR="00C93EB5">
        <w:rPr>
          <w:rFonts w:ascii="Arial" w:hAnsi="Arial" w:cs="Arial"/>
          <w:sz w:val="24"/>
          <w:szCs w:val="24"/>
        </w:rPr>
        <w:t xml:space="preserve">fuel </w:t>
      </w:r>
      <w:r w:rsidR="0048674B">
        <w:rPr>
          <w:rFonts w:ascii="Arial" w:hAnsi="Arial" w:cs="Arial"/>
          <w:sz w:val="24"/>
          <w:szCs w:val="24"/>
        </w:rPr>
        <w:t>or old unburnt piled slash accumulations. Wildfires</w:t>
      </w:r>
      <w:r w:rsidR="00C93EB5">
        <w:rPr>
          <w:rFonts w:ascii="Arial" w:hAnsi="Arial" w:cs="Arial"/>
          <w:sz w:val="24"/>
          <w:szCs w:val="24"/>
        </w:rPr>
        <w:t xml:space="preserve"> </w:t>
      </w:r>
      <w:r w:rsidR="0048674B">
        <w:rPr>
          <w:rFonts w:ascii="Arial" w:hAnsi="Arial" w:cs="Arial"/>
          <w:sz w:val="24"/>
          <w:szCs w:val="24"/>
        </w:rPr>
        <w:t>are much less likely to burn</w:t>
      </w:r>
      <w:r w:rsidR="00C93EB5">
        <w:rPr>
          <w:rFonts w:ascii="Arial" w:hAnsi="Arial" w:cs="Arial"/>
          <w:sz w:val="24"/>
          <w:szCs w:val="24"/>
        </w:rPr>
        <w:t xml:space="preserve"> in old broadcast burned cutblocks </w:t>
      </w:r>
      <w:r w:rsidR="00AF0F84">
        <w:rPr>
          <w:rFonts w:ascii="Arial" w:hAnsi="Arial" w:cs="Arial"/>
          <w:sz w:val="24"/>
          <w:szCs w:val="24"/>
        </w:rPr>
        <w:t xml:space="preserve">(plantations) </w:t>
      </w:r>
      <w:r w:rsidR="00C93EB5">
        <w:rPr>
          <w:rFonts w:ascii="Arial" w:hAnsi="Arial" w:cs="Arial"/>
          <w:sz w:val="24"/>
          <w:szCs w:val="24"/>
        </w:rPr>
        <w:t xml:space="preserve">or areas where the fire hazard was adequately abated after harvesting.  </w:t>
      </w:r>
      <w:r w:rsidR="00ED0F55">
        <w:rPr>
          <w:rFonts w:ascii="Arial" w:hAnsi="Arial" w:cs="Arial"/>
          <w:sz w:val="24"/>
          <w:szCs w:val="24"/>
        </w:rPr>
        <w:t xml:space="preserve">     </w:t>
      </w:r>
    </w:p>
    <w:p w14:paraId="7895D5E4" w14:textId="77777777" w:rsidR="008F277F" w:rsidRDefault="00D83158" w:rsidP="00CA296E">
      <w:pPr>
        <w:rPr>
          <w:rFonts w:ascii="Arial" w:hAnsi="Arial" w:cs="Arial"/>
          <w:sz w:val="24"/>
          <w:szCs w:val="24"/>
        </w:rPr>
      </w:pPr>
      <w:r w:rsidRPr="00D83158">
        <w:rPr>
          <w:rFonts w:ascii="Arial" w:hAnsi="Arial" w:cs="Arial"/>
          <w:sz w:val="24"/>
          <w:szCs w:val="24"/>
        </w:rPr>
        <w:t xml:space="preserve"> </w:t>
      </w:r>
    </w:p>
    <w:p w14:paraId="124514C5" w14:textId="77777777" w:rsidR="008F277F" w:rsidRDefault="008F277F" w:rsidP="00CA296E">
      <w:pPr>
        <w:rPr>
          <w:rFonts w:ascii="Arial" w:hAnsi="Arial" w:cs="Arial"/>
          <w:sz w:val="24"/>
          <w:szCs w:val="24"/>
        </w:rPr>
      </w:pPr>
    </w:p>
    <w:p w14:paraId="498AE945" w14:textId="015DA494" w:rsidR="00CA296E" w:rsidRPr="0048674B" w:rsidRDefault="0048674B" w:rsidP="00CA296E">
      <w:pPr>
        <w:rPr>
          <w:rFonts w:ascii="Bradley Hand ITC" w:eastAsia="Times New Roman" w:hAnsi="Bradley Hand ITC" w:cs="Times New Roman"/>
          <w:b/>
          <w:bCs/>
          <w:i/>
          <w:iCs/>
          <w:color w:val="2E74B5" w:themeColor="accent1" w:themeShade="BF"/>
          <w:sz w:val="28"/>
          <w:szCs w:val="28"/>
          <w:lang w:val="en-CA" w:eastAsia="en-CA"/>
        </w:rPr>
      </w:pPr>
      <w:r w:rsidRPr="0048674B">
        <w:rPr>
          <w:rFonts w:ascii="Bradley Hand ITC" w:eastAsia="Times New Roman" w:hAnsi="Bradley Hand ITC" w:cs="Times New Roman"/>
          <w:b/>
          <w:bCs/>
          <w:i/>
          <w:iCs/>
          <w:color w:val="2E74B5" w:themeColor="accent1" w:themeShade="BF"/>
          <w:sz w:val="28"/>
          <w:szCs w:val="28"/>
          <w:lang w:val="en-CA" w:eastAsia="en-CA"/>
        </w:rPr>
        <w:t>Alan John Waters</w:t>
      </w:r>
    </w:p>
    <w:p w14:paraId="7123E27E" w14:textId="0F3CDF0E" w:rsidR="00CA296E" w:rsidRPr="00B27CF0" w:rsidRDefault="00CA296E" w:rsidP="00CA296E">
      <w:pPr>
        <w:rPr>
          <w:rFonts w:ascii="Times New Roman" w:eastAsia="Times New Roman" w:hAnsi="Times New Roman" w:cs="Times New Roman"/>
          <w:bCs/>
          <w:i/>
          <w:iCs/>
          <w:sz w:val="28"/>
          <w:szCs w:val="28"/>
          <w:lang w:val="en-CA" w:eastAsia="en-CA"/>
        </w:rPr>
      </w:pPr>
      <w:r w:rsidRPr="00B27CF0">
        <w:rPr>
          <w:rFonts w:ascii="Times New Roman" w:eastAsia="Times New Roman" w:hAnsi="Times New Roman" w:cs="Times New Roman"/>
          <w:bCs/>
          <w:sz w:val="28"/>
          <w:szCs w:val="28"/>
          <w:lang w:val="en-CA" w:eastAsia="en-CA"/>
        </w:rPr>
        <w:t>Alan Waters RPF</w:t>
      </w:r>
      <w:r w:rsidR="00EC2A8F">
        <w:rPr>
          <w:rFonts w:ascii="Times New Roman" w:eastAsia="Times New Roman" w:hAnsi="Times New Roman" w:cs="Times New Roman"/>
          <w:bCs/>
          <w:sz w:val="28"/>
          <w:szCs w:val="28"/>
          <w:lang w:val="en-CA" w:eastAsia="en-CA"/>
        </w:rPr>
        <w:t>#</w:t>
      </w:r>
      <w:r>
        <w:rPr>
          <w:rFonts w:ascii="Times New Roman" w:eastAsia="Times New Roman" w:hAnsi="Times New Roman" w:cs="Times New Roman"/>
          <w:bCs/>
          <w:sz w:val="28"/>
          <w:szCs w:val="28"/>
          <w:lang w:val="en-CA" w:eastAsia="en-CA"/>
        </w:rPr>
        <w:tab/>
        <w:t>1495</w:t>
      </w:r>
      <w:r>
        <w:rPr>
          <w:rFonts w:ascii="Times New Roman" w:eastAsia="Times New Roman" w:hAnsi="Times New Roman" w:cs="Times New Roman"/>
          <w:bCs/>
          <w:sz w:val="28"/>
          <w:szCs w:val="28"/>
          <w:lang w:val="en-CA" w:eastAsia="en-CA"/>
        </w:rPr>
        <w:tab/>
      </w:r>
      <w:r>
        <w:rPr>
          <w:rFonts w:ascii="Times New Roman" w:eastAsia="Times New Roman" w:hAnsi="Times New Roman" w:cs="Times New Roman"/>
          <w:bCs/>
          <w:sz w:val="28"/>
          <w:szCs w:val="28"/>
          <w:lang w:val="en-CA" w:eastAsia="en-CA"/>
        </w:rPr>
        <w:tab/>
      </w:r>
      <w:r w:rsidR="00067267">
        <w:rPr>
          <w:rFonts w:ascii="Times New Roman" w:eastAsia="Times New Roman" w:hAnsi="Times New Roman" w:cs="Times New Roman"/>
          <w:bCs/>
          <w:iCs/>
          <w:sz w:val="28"/>
          <w:szCs w:val="28"/>
          <w:lang w:val="en-CA" w:eastAsia="en-CA"/>
        </w:rPr>
        <w:t>June 15</w:t>
      </w:r>
      <w:r w:rsidRPr="000D05DB">
        <w:rPr>
          <w:rFonts w:ascii="Times New Roman" w:eastAsia="Times New Roman" w:hAnsi="Times New Roman" w:cs="Times New Roman"/>
          <w:bCs/>
          <w:iCs/>
          <w:sz w:val="28"/>
          <w:szCs w:val="28"/>
          <w:lang w:val="en-CA" w:eastAsia="en-CA"/>
        </w:rPr>
        <w:t>, 2020</w:t>
      </w:r>
      <w:r w:rsidR="00EC2A8F" w:rsidRPr="000D05DB">
        <w:rPr>
          <w:rFonts w:ascii="Times New Roman" w:eastAsia="Times New Roman" w:hAnsi="Times New Roman" w:cs="Times New Roman"/>
          <w:bCs/>
          <w:iCs/>
          <w:sz w:val="28"/>
          <w:szCs w:val="28"/>
          <w:lang w:val="en-CA" w:eastAsia="en-CA"/>
        </w:rPr>
        <w:t>.</w:t>
      </w:r>
    </w:p>
    <w:p w14:paraId="263F1A52" w14:textId="69E4A67B" w:rsidR="00D83158" w:rsidRPr="00D83158" w:rsidRDefault="00CA296E" w:rsidP="009A6D16">
      <w:pPr>
        <w:rPr>
          <w:rFonts w:ascii="Arial" w:hAnsi="Arial" w:cs="Arial"/>
          <w:sz w:val="24"/>
          <w:szCs w:val="24"/>
        </w:rPr>
      </w:pPr>
      <w:r>
        <w:rPr>
          <w:rFonts w:ascii="Times New Roman" w:eastAsia="Times New Roman" w:hAnsi="Times New Roman" w:cs="Times New Roman"/>
          <w:bCs/>
          <w:sz w:val="28"/>
          <w:szCs w:val="28"/>
          <w:lang w:val="en-CA" w:eastAsia="en-CA"/>
        </w:rPr>
        <w:t>Woodlot Licensee</w:t>
      </w:r>
    </w:p>
    <w:sectPr w:rsidR="00D83158" w:rsidRPr="00D83158" w:rsidSect="000E1E0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B0D4E" w14:textId="77777777" w:rsidR="00530CEE" w:rsidRDefault="00530CEE" w:rsidP="00664F42">
      <w:pPr>
        <w:spacing w:after="0" w:line="240" w:lineRule="auto"/>
      </w:pPr>
      <w:r>
        <w:separator/>
      </w:r>
    </w:p>
  </w:endnote>
  <w:endnote w:type="continuationSeparator" w:id="0">
    <w:p w14:paraId="7D731C15" w14:textId="77777777" w:rsidR="00530CEE" w:rsidRDefault="00530CEE" w:rsidP="0066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DFB7B" w14:textId="77777777" w:rsidR="00530CEE" w:rsidRDefault="00530CEE" w:rsidP="00664F42">
      <w:pPr>
        <w:spacing w:after="0" w:line="240" w:lineRule="auto"/>
      </w:pPr>
      <w:r>
        <w:separator/>
      </w:r>
    </w:p>
  </w:footnote>
  <w:footnote w:type="continuationSeparator" w:id="0">
    <w:p w14:paraId="09574276" w14:textId="77777777" w:rsidR="00530CEE" w:rsidRDefault="00530CEE" w:rsidP="00664F42">
      <w:pPr>
        <w:spacing w:after="0" w:line="240" w:lineRule="auto"/>
      </w:pPr>
      <w:r>
        <w:continuationSeparator/>
      </w:r>
    </w:p>
  </w:footnote>
  <w:footnote w:id="1">
    <w:p w14:paraId="77134D70" w14:textId="50CC6056" w:rsidR="00F4030C" w:rsidRDefault="00F4030C">
      <w:pPr>
        <w:pStyle w:val="FootnoteText"/>
      </w:pPr>
      <w:r>
        <w:rPr>
          <w:rStyle w:val="FootnoteReference"/>
        </w:rPr>
        <w:footnoteRef/>
      </w:r>
      <w:r>
        <w:t xml:space="preserve"> Under the Forest Practices Code there was a practice requirement to abate or remove piled accumulations of harvesting slash without carrying out a fire hazard assessment to determine if these slash accumulation</w:t>
      </w:r>
      <w:r w:rsidR="00CA45C3">
        <w:t>s</w:t>
      </w:r>
      <w:r>
        <w:t xml:space="preserve"> were a fire hazard.</w:t>
      </w:r>
    </w:p>
  </w:footnote>
  <w:footnote w:id="2">
    <w:p w14:paraId="3BBE4474" w14:textId="77777777" w:rsidR="00067267" w:rsidRDefault="00067267" w:rsidP="00067267">
      <w:pPr>
        <w:pStyle w:val="FootnoteText"/>
      </w:pPr>
      <w:r>
        <w:rPr>
          <w:rStyle w:val="FootnoteReference"/>
        </w:rPr>
        <w:footnoteRef/>
      </w:r>
      <w:r>
        <w:t xml:space="preserve"> A Registered Professional Forester or Registered Forest Technologist that is qualified by training and work experience to undertake the fire hazard assessment.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64A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CC362D"/>
    <w:multiLevelType w:val="hybridMultilevel"/>
    <w:tmpl w:val="3996B40E"/>
    <w:lvl w:ilvl="0" w:tplc="85849C2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684"/>
    <w:multiLevelType w:val="hybridMultilevel"/>
    <w:tmpl w:val="184ED248"/>
    <w:lvl w:ilvl="0" w:tplc="B1AED2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65E05"/>
    <w:multiLevelType w:val="hybridMultilevel"/>
    <w:tmpl w:val="619C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03529"/>
    <w:multiLevelType w:val="hybridMultilevel"/>
    <w:tmpl w:val="DEDAD8EE"/>
    <w:lvl w:ilvl="0" w:tplc="255ED5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231B4"/>
    <w:multiLevelType w:val="hybridMultilevel"/>
    <w:tmpl w:val="1916B24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E3A438B"/>
    <w:multiLevelType w:val="hybridMultilevel"/>
    <w:tmpl w:val="BB7C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32A86"/>
    <w:multiLevelType w:val="hybridMultilevel"/>
    <w:tmpl w:val="19B8F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B0F73"/>
    <w:multiLevelType w:val="hybridMultilevel"/>
    <w:tmpl w:val="FCE0DB94"/>
    <w:lvl w:ilvl="0" w:tplc="A98E28FA">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546AA"/>
    <w:multiLevelType w:val="hybridMultilevel"/>
    <w:tmpl w:val="4F28433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9EE796F"/>
    <w:multiLevelType w:val="hybridMultilevel"/>
    <w:tmpl w:val="3D08D9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4"/>
  </w:num>
  <w:num w:numId="5">
    <w:abstractNumId w:val="2"/>
  </w:num>
  <w:num w:numId="6">
    <w:abstractNumId w:val="6"/>
  </w:num>
  <w:num w:numId="7">
    <w:abstractNumId w:val="0"/>
  </w:num>
  <w:num w:numId="8">
    <w:abstractNumId w:val="1"/>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9D"/>
    <w:rsid w:val="000001C6"/>
    <w:rsid w:val="0000227C"/>
    <w:rsid w:val="00024239"/>
    <w:rsid w:val="00027C8F"/>
    <w:rsid w:val="00031B27"/>
    <w:rsid w:val="00032C05"/>
    <w:rsid w:val="00034EA1"/>
    <w:rsid w:val="0004419E"/>
    <w:rsid w:val="00046A73"/>
    <w:rsid w:val="00047EF4"/>
    <w:rsid w:val="000502CD"/>
    <w:rsid w:val="00057AF5"/>
    <w:rsid w:val="00061BC8"/>
    <w:rsid w:val="000643B7"/>
    <w:rsid w:val="00067267"/>
    <w:rsid w:val="0007485E"/>
    <w:rsid w:val="00076546"/>
    <w:rsid w:val="0009023B"/>
    <w:rsid w:val="0009440E"/>
    <w:rsid w:val="000A5413"/>
    <w:rsid w:val="000A6A9A"/>
    <w:rsid w:val="000B5EDF"/>
    <w:rsid w:val="000B62AF"/>
    <w:rsid w:val="000C5CEC"/>
    <w:rsid w:val="000D05DB"/>
    <w:rsid w:val="000D4591"/>
    <w:rsid w:val="000D4A1A"/>
    <w:rsid w:val="000D5F8D"/>
    <w:rsid w:val="000E16D8"/>
    <w:rsid w:val="000E16E5"/>
    <w:rsid w:val="000E1E00"/>
    <w:rsid w:val="000E7C85"/>
    <w:rsid w:val="000F122A"/>
    <w:rsid w:val="000F4FA6"/>
    <w:rsid w:val="000F63E9"/>
    <w:rsid w:val="00111E72"/>
    <w:rsid w:val="00124ECB"/>
    <w:rsid w:val="001253CC"/>
    <w:rsid w:val="001258F2"/>
    <w:rsid w:val="00125EB3"/>
    <w:rsid w:val="00126819"/>
    <w:rsid w:val="001307D9"/>
    <w:rsid w:val="001328C4"/>
    <w:rsid w:val="00133278"/>
    <w:rsid w:val="00134ACD"/>
    <w:rsid w:val="00141ACE"/>
    <w:rsid w:val="00142950"/>
    <w:rsid w:val="00153B95"/>
    <w:rsid w:val="00157BB4"/>
    <w:rsid w:val="00160BA2"/>
    <w:rsid w:val="001665E5"/>
    <w:rsid w:val="00167021"/>
    <w:rsid w:val="00171435"/>
    <w:rsid w:val="0017211D"/>
    <w:rsid w:val="00172943"/>
    <w:rsid w:val="00177BC3"/>
    <w:rsid w:val="00184EE6"/>
    <w:rsid w:val="001A14BD"/>
    <w:rsid w:val="001A389C"/>
    <w:rsid w:val="001B1549"/>
    <w:rsid w:val="001B2857"/>
    <w:rsid w:val="001B3786"/>
    <w:rsid w:val="001B5CC3"/>
    <w:rsid w:val="001C66BE"/>
    <w:rsid w:val="001D4974"/>
    <w:rsid w:val="001E3CEF"/>
    <w:rsid w:val="00213546"/>
    <w:rsid w:val="00215239"/>
    <w:rsid w:val="00216D63"/>
    <w:rsid w:val="002230F0"/>
    <w:rsid w:val="0022513E"/>
    <w:rsid w:val="00226961"/>
    <w:rsid w:val="00227873"/>
    <w:rsid w:val="00232124"/>
    <w:rsid w:val="00242A4E"/>
    <w:rsid w:val="00246362"/>
    <w:rsid w:val="00246542"/>
    <w:rsid w:val="00254D19"/>
    <w:rsid w:val="002556F5"/>
    <w:rsid w:val="00265C7A"/>
    <w:rsid w:val="00272379"/>
    <w:rsid w:val="00280ADA"/>
    <w:rsid w:val="0028722F"/>
    <w:rsid w:val="00290CB2"/>
    <w:rsid w:val="00291367"/>
    <w:rsid w:val="002926FC"/>
    <w:rsid w:val="002A5D35"/>
    <w:rsid w:val="002A6EFE"/>
    <w:rsid w:val="002A7932"/>
    <w:rsid w:val="002C4125"/>
    <w:rsid w:val="002C712C"/>
    <w:rsid w:val="002D3ABA"/>
    <w:rsid w:val="002D671F"/>
    <w:rsid w:val="002D67E9"/>
    <w:rsid w:val="002D7999"/>
    <w:rsid w:val="002E19D4"/>
    <w:rsid w:val="002E1A95"/>
    <w:rsid w:val="002E25EE"/>
    <w:rsid w:val="002E3424"/>
    <w:rsid w:val="002E77C0"/>
    <w:rsid w:val="002F15F4"/>
    <w:rsid w:val="002F6702"/>
    <w:rsid w:val="002F71B1"/>
    <w:rsid w:val="00306DAC"/>
    <w:rsid w:val="00307821"/>
    <w:rsid w:val="0032011F"/>
    <w:rsid w:val="00322939"/>
    <w:rsid w:val="0032299D"/>
    <w:rsid w:val="00326E62"/>
    <w:rsid w:val="003309CC"/>
    <w:rsid w:val="00331F89"/>
    <w:rsid w:val="003423A3"/>
    <w:rsid w:val="00344923"/>
    <w:rsid w:val="00360E32"/>
    <w:rsid w:val="00362545"/>
    <w:rsid w:val="00371E49"/>
    <w:rsid w:val="00376798"/>
    <w:rsid w:val="003801F7"/>
    <w:rsid w:val="00394926"/>
    <w:rsid w:val="00397052"/>
    <w:rsid w:val="003A3983"/>
    <w:rsid w:val="003A5857"/>
    <w:rsid w:val="003B1400"/>
    <w:rsid w:val="003B39B6"/>
    <w:rsid w:val="003B5BBC"/>
    <w:rsid w:val="003B7442"/>
    <w:rsid w:val="003E3921"/>
    <w:rsid w:val="003F2672"/>
    <w:rsid w:val="003F431C"/>
    <w:rsid w:val="003F4716"/>
    <w:rsid w:val="00402A7F"/>
    <w:rsid w:val="00405474"/>
    <w:rsid w:val="0043505A"/>
    <w:rsid w:val="004436CB"/>
    <w:rsid w:val="00452D4C"/>
    <w:rsid w:val="00453465"/>
    <w:rsid w:val="00472C18"/>
    <w:rsid w:val="00477F02"/>
    <w:rsid w:val="00481C52"/>
    <w:rsid w:val="00482372"/>
    <w:rsid w:val="0048674B"/>
    <w:rsid w:val="00492B20"/>
    <w:rsid w:val="00492D63"/>
    <w:rsid w:val="004A341E"/>
    <w:rsid w:val="004A51BC"/>
    <w:rsid w:val="004B1580"/>
    <w:rsid w:val="004C2243"/>
    <w:rsid w:val="004C2A5B"/>
    <w:rsid w:val="004C492C"/>
    <w:rsid w:val="004D3E59"/>
    <w:rsid w:val="004D4517"/>
    <w:rsid w:val="004E74DC"/>
    <w:rsid w:val="004F4291"/>
    <w:rsid w:val="0050226B"/>
    <w:rsid w:val="0052592F"/>
    <w:rsid w:val="00530CEE"/>
    <w:rsid w:val="005414D9"/>
    <w:rsid w:val="00561699"/>
    <w:rsid w:val="005633CB"/>
    <w:rsid w:val="0056653C"/>
    <w:rsid w:val="00570DC2"/>
    <w:rsid w:val="00576F47"/>
    <w:rsid w:val="005834F1"/>
    <w:rsid w:val="00595AA4"/>
    <w:rsid w:val="005A4A12"/>
    <w:rsid w:val="005B2CE9"/>
    <w:rsid w:val="005B2D51"/>
    <w:rsid w:val="005E1430"/>
    <w:rsid w:val="005E1D2E"/>
    <w:rsid w:val="005E2BFF"/>
    <w:rsid w:val="00600AC5"/>
    <w:rsid w:val="006059D9"/>
    <w:rsid w:val="0061003C"/>
    <w:rsid w:val="00610FF2"/>
    <w:rsid w:val="00611F5C"/>
    <w:rsid w:val="0062739B"/>
    <w:rsid w:val="00630FA6"/>
    <w:rsid w:val="006349F8"/>
    <w:rsid w:val="00634A63"/>
    <w:rsid w:val="00640508"/>
    <w:rsid w:val="006419B7"/>
    <w:rsid w:val="00644E99"/>
    <w:rsid w:val="006459D3"/>
    <w:rsid w:val="006466E8"/>
    <w:rsid w:val="00652FBF"/>
    <w:rsid w:val="00653F8F"/>
    <w:rsid w:val="00657A93"/>
    <w:rsid w:val="00664F42"/>
    <w:rsid w:val="00670456"/>
    <w:rsid w:val="00671761"/>
    <w:rsid w:val="00673FCF"/>
    <w:rsid w:val="006833DF"/>
    <w:rsid w:val="00683651"/>
    <w:rsid w:val="0068579B"/>
    <w:rsid w:val="00687C97"/>
    <w:rsid w:val="006A19D9"/>
    <w:rsid w:val="006A4081"/>
    <w:rsid w:val="006A463A"/>
    <w:rsid w:val="006C0961"/>
    <w:rsid w:val="006C438B"/>
    <w:rsid w:val="006D4AD0"/>
    <w:rsid w:val="006D77C3"/>
    <w:rsid w:val="006E2D8C"/>
    <w:rsid w:val="006E342C"/>
    <w:rsid w:val="00712C4B"/>
    <w:rsid w:val="0071365B"/>
    <w:rsid w:val="0072206B"/>
    <w:rsid w:val="007231C0"/>
    <w:rsid w:val="00732AF9"/>
    <w:rsid w:val="00756A09"/>
    <w:rsid w:val="00763576"/>
    <w:rsid w:val="00766A09"/>
    <w:rsid w:val="007700D9"/>
    <w:rsid w:val="007708B3"/>
    <w:rsid w:val="0078031B"/>
    <w:rsid w:val="00781E59"/>
    <w:rsid w:val="00782551"/>
    <w:rsid w:val="0078735A"/>
    <w:rsid w:val="00791EC0"/>
    <w:rsid w:val="007952E0"/>
    <w:rsid w:val="007A63C8"/>
    <w:rsid w:val="007B2E11"/>
    <w:rsid w:val="007D2C3A"/>
    <w:rsid w:val="007E0D9E"/>
    <w:rsid w:val="007E1340"/>
    <w:rsid w:val="007E373A"/>
    <w:rsid w:val="008035A6"/>
    <w:rsid w:val="00812EB0"/>
    <w:rsid w:val="00816BC7"/>
    <w:rsid w:val="00823361"/>
    <w:rsid w:val="00830153"/>
    <w:rsid w:val="00835C0A"/>
    <w:rsid w:val="00835FCF"/>
    <w:rsid w:val="00845250"/>
    <w:rsid w:val="00850C79"/>
    <w:rsid w:val="008536FD"/>
    <w:rsid w:val="00873248"/>
    <w:rsid w:val="00873C29"/>
    <w:rsid w:val="00874EBB"/>
    <w:rsid w:val="008914AA"/>
    <w:rsid w:val="0089158B"/>
    <w:rsid w:val="00892994"/>
    <w:rsid w:val="008B08B0"/>
    <w:rsid w:val="008B2129"/>
    <w:rsid w:val="008B4F71"/>
    <w:rsid w:val="008C1CF0"/>
    <w:rsid w:val="008C2455"/>
    <w:rsid w:val="008D226C"/>
    <w:rsid w:val="008D2577"/>
    <w:rsid w:val="008D3335"/>
    <w:rsid w:val="008D4AB7"/>
    <w:rsid w:val="008E046A"/>
    <w:rsid w:val="008E437D"/>
    <w:rsid w:val="008F2110"/>
    <w:rsid w:val="008F277F"/>
    <w:rsid w:val="008F61FF"/>
    <w:rsid w:val="00902696"/>
    <w:rsid w:val="00921129"/>
    <w:rsid w:val="00922E7A"/>
    <w:rsid w:val="00942485"/>
    <w:rsid w:val="00945F56"/>
    <w:rsid w:val="00950982"/>
    <w:rsid w:val="00953561"/>
    <w:rsid w:val="00955F10"/>
    <w:rsid w:val="009579DE"/>
    <w:rsid w:val="00983469"/>
    <w:rsid w:val="009856B6"/>
    <w:rsid w:val="009942D0"/>
    <w:rsid w:val="009A6D16"/>
    <w:rsid w:val="009B3D92"/>
    <w:rsid w:val="009C3B7F"/>
    <w:rsid w:val="009D31FC"/>
    <w:rsid w:val="009D7D33"/>
    <w:rsid w:val="009E1A16"/>
    <w:rsid w:val="009E3886"/>
    <w:rsid w:val="009E3D93"/>
    <w:rsid w:val="009E503C"/>
    <w:rsid w:val="009E74E9"/>
    <w:rsid w:val="009E7AE3"/>
    <w:rsid w:val="009F3C77"/>
    <w:rsid w:val="009F57B5"/>
    <w:rsid w:val="009F6451"/>
    <w:rsid w:val="009F7E86"/>
    <w:rsid w:val="00A10057"/>
    <w:rsid w:val="00A111EE"/>
    <w:rsid w:val="00A17800"/>
    <w:rsid w:val="00A17C85"/>
    <w:rsid w:val="00A367EA"/>
    <w:rsid w:val="00A4387B"/>
    <w:rsid w:val="00A459BB"/>
    <w:rsid w:val="00A51161"/>
    <w:rsid w:val="00A51374"/>
    <w:rsid w:val="00A556AF"/>
    <w:rsid w:val="00A619BD"/>
    <w:rsid w:val="00A65ADA"/>
    <w:rsid w:val="00A66D0A"/>
    <w:rsid w:val="00A67CCE"/>
    <w:rsid w:val="00A70651"/>
    <w:rsid w:val="00A71CF9"/>
    <w:rsid w:val="00A72229"/>
    <w:rsid w:val="00A750C2"/>
    <w:rsid w:val="00A82C1F"/>
    <w:rsid w:val="00A87B8E"/>
    <w:rsid w:val="00A90308"/>
    <w:rsid w:val="00A90EA8"/>
    <w:rsid w:val="00A912CB"/>
    <w:rsid w:val="00A946ED"/>
    <w:rsid w:val="00A94F60"/>
    <w:rsid w:val="00A97CC2"/>
    <w:rsid w:val="00AA6E91"/>
    <w:rsid w:val="00AB3082"/>
    <w:rsid w:val="00AC65AF"/>
    <w:rsid w:val="00AC7F42"/>
    <w:rsid w:val="00AD4225"/>
    <w:rsid w:val="00AD4393"/>
    <w:rsid w:val="00AE69A7"/>
    <w:rsid w:val="00AF0F84"/>
    <w:rsid w:val="00AF3A63"/>
    <w:rsid w:val="00AF477E"/>
    <w:rsid w:val="00AF54E0"/>
    <w:rsid w:val="00AF66E6"/>
    <w:rsid w:val="00B02F8D"/>
    <w:rsid w:val="00B042FA"/>
    <w:rsid w:val="00B0566B"/>
    <w:rsid w:val="00B1622E"/>
    <w:rsid w:val="00B1745C"/>
    <w:rsid w:val="00B25272"/>
    <w:rsid w:val="00B26A9C"/>
    <w:rsid w:val="00B27CF0"/>
    <w:rsid w:val="00B32FEA"/>
    <w:rsid w:val="00B50FE0"/>
    <w:rsid w:val="00B530D7"/>
    <w:rsid w:val="00B53B55"/>
    <w:rsid w:val="00B56118"/>
    <w:rsid w:val="00B565FF"/>
    <w:rsid w:val="00B64B0D"/>
    <w:rsid w:val="00B67070"/>
    <w:rsid w:val="00B70D79"/>
    <w:rsid w:val="00B7553F"/>
    <w:rsid w:val="00B75B0E"/>
    <w:rsid w:val="00B80B27"/>
    <w:rsid w:val="00B82686"/>
    <w:rsid w:val="00B833AD"/>
    <w:rsid w:val="00B876A7"/>
    <w:rsid w:val="00B9109E"/>
    <w:rsid w:val="00B94039"/>
    <w:rsid w:val="00B95C6D"/>
    <w:rsid w:val="00BA0AA2"/>
    <w:rsid w:val="00BC2E9F"/>
    <w:rsid w:val="00BC6036"/>
    <w:rsid w:val="00BD2717"/>
    <w:rsid w:val="00BD3394"/>
    <w:rsid w:val="00BD5BD5"/>
    <w:rsid w:val="00BE5F4B"/>
    <w:rsid w:val="00BE7620"/>
    <w:rsid w:val="00C05F75"/>
    <w:rsid w:val="00C10352"/>
    <w:rsid w:val="00C20624"/>
    <w:rsid w:val="00C240E8"/>
    <w:rsid w:val="00C332B2"/>
    <w:rsid w:val="00C34008"/>
    <w:rsid w:val="00C46D82"/>
    <w:rsid w:val="00C52D81"/>
    <w:rsid w:val="00C57305"/>
    <w:rsid w:val="00C712F7"/>
    <w:rsid w:val="00C751D7"/>
    <w:rsid w:val="00C759C7"/>
    <w:rsid w:val="00C80D04"/>
    <w:rsid w:val="00C820FC"/>
    <w:rsid w:val="00C84403"/>
    <w:rsid w:val="00C87745"/>
    <w:rsid w:val="00C877BE"/>
    <w:rsid w:val="00C91193"/>
    <w:rsid w:val="00C93255"/>
    <w:rsid w:val="00C938D1"/>
    <w:rsid w:val="00C938EC"/>
    <w:rsid w:val="00C93EB5"/>
    <w:rsid w:val="00C9546C"/>
    <w:rsid w:val="00CA26C1"/>
    <w:rsid w:val="00CA296E"/>
    <w:rsid w:val="00CA3F31"/>
    <w:rsid w:val="00CA45C3"/>
    <w:rsid w:val="00CA5382"/>
    <w:rsid w:val="00CA5BD0"/>
    <w:rsid w:val="00CB1408"/>
    <w:rsid w:val="00CB200A"/>
    <w:rsid w:val="00CB6366"/>
    <w:rsid w:val="00CC0FB6"/>
    <w:rsid w:val="00CC44AD"/>
    <w:rsid w:val="00CC6118"/>
    <w:rsid w:val="00CC7BC1"/>
    <w:rsid w:val="00CF1539"/>
    <w:rsid w:val="00D00562"/>
    <w:rsid w:val="00D008A1"/>
    <w:rsid w:val="00D04D49"/>
    <w:rsid w:val="00D1389F"/>
    <w:rsid w:val="00D24D88"/>
    <w:rsid w:val="00D270D6"/>
    <w:rsid w:val="00D27250"/>
    <w:rsid w:val="00D3335A"/>
    <w:rsid w:val="00D37C09"/>
    <w:rsid w:val="00D51C33"/>
    <w:rsid w:val="00D61D64"/>
    <w:rsid w:val="00D70438"/>
    <w:rsid w:val="00D8286E"/>
    <w:rsid w:val="00D83158"/>
    <w:rsid w:val="00D944CB"/>
    <w:rsid w:val="00D96999"/>
    <w:rsid w:val="00DA0CCA"/>
    <w:rsid w:val="00DB1688"/>
    <w:rsid w:val="00DB271E"/>
    <w:rsid w:val="00DB401C"/>
    <w:rsid w:val="00DB4859"/>
    <w:rsid w:val="00DC1ED1"/>
    <w:rsid w:val="00DD2615"/>
    <w:rsid w:val="00DD3B44"/>
    <w:rsid w:val="00DD542C"/>
    <w:rsid w:val="00DD57D2"/>
    <w:rsid w:val="00DD60B7"/>
    <w:rsid w:val="00E03409"/>
    <w:rsid w:val="00E06746"/>
    <w:rsid w:val="00E129ED"/>
    <w:rsid w:val="00E14522"/>
    <w:rsid w:val="00E20617"/>
    <w:rsid w:val="00E2332B"/>
    <w:rsid w:val="00E24229"/>
    <w:rsid w:val="00E2595E"/>
    <w:rsid w:val="00E2671E"/>
    <w:rsid w:val="00E35235"/>
    <w:rsid w:val="00E36183"/>
    <w:rsid w:val="00E374E6"/>
    <w:rsid w:val="00E4384A"/>
    <w:rsid w:val="00E456D9"/>
    <w:rsid w:val="00E45C92"/>
    <w:rsid w:val="00E47806"/>
    <w:rsid w:val="00E52C7A"/>
    <w:rsid w:val="00E61A80"/>
    <w:rsid w:val="00E62171"/>
    <w:rsid w:val="00E71587"/>
    <w:rsid w:val="00E8020F"/>
    <w:rsid w:val="00E81B22"/>
    <w:rsid w:val="00E85EC2"/>
    <w:rsid w:val="00E87A72"/>
    <w:rsid w:val="00E9091B"/>
    <w:rsid w:val="00E937F1"/>
    <w:rsid w:val="00EA1385"/>
    <w:rsid w:val="00EA2737"/>
    <w:rsid w:val="00EA64F2"/>
    <w:rsid w:val="00EA6E0F"/>
    <w:rsid w:val="00EB1D8A"/>
    <w:rsid w:val="00EB31AF"/>
    <w:rsid w:val="00EB3B48"/>
    <w:rsid w:val="00EC2A8F"/>
    <w:rsid w:val="00ED0F55"/>
    <w:rsid w:val="00ED6E0A"/>
    <w:rsid w:val="00EE3EF0"/>
    <w:rsid w:val="00EF508A"/>
    <w:rsid w:val="00EF5A8E"/>
    <w:rsid w:val="00EF61D1"/>
    <w:rsid w:val="00EF70F0"/>
    <w:rsid w:val="00EF7F7A"/>
    <w:rsid w:val="00F00E32"/>
    <w:rsid w:val="00F1021B"/>
    <w:rsid w:val="00F13F7E"/>
    <w:rsid w:val="00F309D6"/>
    <w:rsid w:val="00F32275"/>
    <w:rsid w:val="00F4030C"/>
    <w:rsid w:val="00F43B05"/>
    <w:rsid w:val="00F45393"/>
    <w:rsid w:val="00F52676"/>
    <w:rsid w:val="00F54DA3"/>
    <w:rsid w:val="00F556DE"/>
    <w:rsid w:val="00F654B4"/>
    <w:rsid w:val="00F71407"/>
    <w:rsid w:val="00F735FA"/>
    <w:rsid w:val="00F74A14"/>
    <w:rsid w:val="00F806EA"/>
    <w:rsid w:val="00F92590"/>
    <w:rsid w:val="00F92CC9"/>
    <w:rsid w:val="00F92E2A"/>
    <w:rsid w:val="00F93972"/>
    <w:rsid w:val="00F94B94"/>
    <w:rsid w:val="00FB0C5B"/>
    <w:rsid w:val="00FB2981"/>
    <w:rsid w:val="00FC3CBC"/>
    <w:rsid w:val="00FC622D"/>
    <w:rsid w:val="00FE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B3DE"/>
  <w15:chartTrackingRefBased/>
  <w15:docId w15:val="{A3FFC460-9829-4E37-919C-6379FFB4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D2577"/>
    <w:pPr>
      <w:keepNext/>
      <w:spacing w:after="0" w:line="240" w:lineRule="auto"/>
      <w:jc w:val="center"/>
      <w:outlineLvl w:val="0"/>
    </w:pPr>
    <w:rPr>
      <w:rFonts w:ascii="Times New Roman" w:eastAsia="Times New Roman" w:hAnsi="Times New Roman" w:cs="Times New Roman"/>
      <w:sz w:val="24"/>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577"/>
    <w:rPr>
      <w:rFonts w:ascii="Times New Roman" w:eastAsia="Times New Roman" w:hAnsi="Times New Roman" w:cs="Times New Roman"/>
      <w:sz w:val="24"/>
      <w:szCs w:val="20"/>
      <w:lang w:val="en-GB" w:eastAsia="en-CA"/>
    </w:rPr>
  </w:style>
  <w:style w:type="paragraph" w:styleId="ListParagraph">
    <w:name w:val="List Paragraph"/>
    <w:basedOn w:val="Normal"/>
    <w:uiPriority w:val="34"/>
    <w:qFormat/>
    <w:rsid w:val="00781E59"/>
    <w:pPr>
      <w:ind w:left="720"/>
      <w:contextualSpacing/>
    </w:pPr>
  </w:style>
  <w:style w:type="character" w:styleId="Hyperlink">
    <w:name w:val="Hyperlink"/>
    <w:basedOn w:val="DefaultParagraphFont"/>
    <w:uiPriority w:val="99"/>
    <w:unhideWhenUsed/>
    <w:rsid w:val="00032C05"/>
    <w:rPr>
      <w:color w:val="0563C1" w:themeColor="hyperlink"/>
      <w:u w:val="single"/>
    </w:rPr>
  </w:style>
  <w:style w:type="character" w:styleId="FollowedHyperlink">
    <w:name w:val="FollowedHyperlink"/>
    <w:basedOn w:val="DefaultParagraphFont"/>
    <w:uiPriority w:val="99"/>
    <w:semiHidden/>
    <w:unhideWhenUsed/>
    <w:rsid w:val="00032C05"/>
    <w:rPr>
      <w:color w:val="954F72" w:themeColor="followedHyperlink"/>
      <w:u w:val="single"/>
    </w:rPr>
  </w:style>
  <w:style w:type="paragraph" w:styleId="Header">
    <w:name w:val="header"/>
    <w:basedOn w:val="Normal"/>
    <w:link w:val="HeaderChar"/>
    <w:uiPriority w:val="99"/>
    <w:rsid w:val="00F00E32"/>
    <w:pPr>
      <w:tabs>
        <w:tab w:val="center" w:pos="4320"/>
        <w:tab w:val="right" w:pos="8640"/>
      </w:tabs>
      <w:spacing w:after="0" w:line="240" w:lineRule="auto"/>
    </w:pPr>
    <w:rPr>
      <w:rFonts w:ascii="Times New Roman" w:eastAsia="Times New Roman" w:hAnsi="Times New Roman" w:cs="Times New Roman"/>
      <w:sz w:val="24"/>
      <w:szCs w:val="24"/>
      <w:lang w:val="en-CA" w:eastAsia="en-CA"/>
    </w:rPr>
  </w:style>
  <w:style w:type="character" w:customStyle="1" w:styleId="HeaderChar">
    <w:name w:val="Header Char"/>
    <w:basedOn w:val="DefaultParagraphFont"/>
    <w:link w:val="Header"/>
    <w:uiPriority w:val="99"/>
    <w:rsid w:val="00F00E32"/>
    <w:rPr>
      <w:rFonts w:ascii="Times New Roman" w:eastAsia="Times New Roman" w:hAnsi="Times New Roman" w:cs="Times New Roman"/>
      <w:sz w:val="24"/>
      <w:szCs w:val="24"/>
      <w:lang w:val="en-CA" w:eastAsia="en-CA"/>
    </w:rPr>
  </w:style>
  <w:style w:type="table" w:styleId="TableGrid">
    <w:name w:val="Table Grid"/>
    <w:basedOn w:val="TableNormal"/>
    <w:uiPriority w:val="99"/>
    <w:rsid w:val="00F00E3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0508"/>
    <w:rPr>
      <w:sz w:val="16"/>
      <w:szCs w:val="16"/>
    </w:rPr>
  </w:style>
  <w:style w:type="paragraph" w:styleId="CommentText">
    <w:name w:val="annotation text"/>
    <w:basedOn w:val="Normal"/>
    <w:link w:val="CommentTextChar"/>
    <w:uiPriority w:val="99"/>
    <w:semiHidden/>
    <w:unhideWhenUsed/>
    <w:rsid w:val="00640508"/>
    <w:pPr>
      <w:spacing w:line="240" w:lineRule="auto"/>
    </w:pPr>
    <w:rPr>
      <w:sz w:val="20"/>
      <w:szCs w:val="20"/>
    </w:rPr>
  </w:style>
  <w:style w:type="character" w:customStyle="1" w:styleId="CommentTextChar">
    <w:name w:val="Comment Text Char"/>
    <w:basedOn w:val="DefaultParagraphFont"/>
    <w:link w:val="CommentText"/>
    <w:uiPriority w:val="99"/>
    <w:semiHidden/>
    <w:rsid w:val="00640508"/>
    <w:rPr>
      <w:sz w:val="20"/>
      <w:szCs w:val="20"/>
    </w:rPr>
  </w:style>
  <w:style w:type="paragraph" w:styleId="CommentSubject">
    <w:name w:val="annotation subject"/>
    <w:basedOn w:val="CommentText"/>
    <w:next w:val="CommentText"/>
    <w:link w:val="CommentSubjectChar"/>
    <w:uiPriority w:val="99"/>
    <w:semiHidden/>
    <w:unhideWhenUsed/>
    <w:rsid w:val="00640508"/>
    <w:rPr>
      <w:b/>
      <w:bCs/>
    </w:rPr>
  </w:style>
  <w:style w:type="character" w:customStyle="1" w:styleId="CommentSubjectChar">
    <w:name w:val="Comment Subject Char"/>
    <w:basedOn w:val="CommentTextChar"/>
    <w:link w:val="CommentSubject"/>
    <w:uiPriority w:val="99"/>
    <w:semiHidden/>
    <w:rsid w:val="00640508"/>
    <w:rPr>
      <w:b/>
      <w:bCs/>
      <w:sz w:val="20"/>
      <w:szCs w:val="20"/>
    </w:rPr>
  </w:style>
  <w:style w:type="paragraph" w:styleId="BalloonText">
    <w:name w:val="Balloon Text"/>
    <w:basedOn w:val="Normal"/>
    <w:link w:val="BalloonTextChar"/>
    <w:uiPriority w:val="99"/>
    <w:semiHidden/>
    <w:unhideWhenUsed/>
    <w:rsid w:val="00640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508"/>
    <w:rPr>
      <w:rFonts w:ascii="Segoe UI" w:hAnsi="Segoe UI" w:cs="Segoe UI"/>
      <w:sz w:val="18"/>
      <w:szCs w:val="18"/>
    </w:rPr>
  </w:style>
  <w:style w:type="character" w:customStyle="1" w:styleId="secnumholder">
    <w:name w:val="secnumholder"/>
    <w:basedOn w:val="DefaultParagraphFont"/>
    <w:rsid w:val="004C2A5B"/>
  </w:style>
  <w:style w:type="paragraph" w:customStyle="1" w:styleId="subpara">
    <w:name w:val="subpara"/>
    <w:basedOn w:val="Normal"/>
    <w:rsid w:val="00835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835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
    <w:name w:val="def"/>
    <w:basedOn w:val="Normal"/>
    <w:rsid w:val="00CC44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4AD"/>
    <w:rPr>
      <w:b/>
      <w:bCs/>
    </w:rPr>
  </w:style>
  <w:style w:type="paragraph" w:styleId="FootnoteText">
    <w:name w:val="footnote text"/>
    <w:basedOn w:val="Normal"/>
    <w:link w:val="FootnoteTextChar"/>
    <w:uiPriority w:val="99"/>
    <w:semiHidden/>
    <w:unhideWhenUsed/>
    <w:rsid w:val="00664F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F42"/>
    <w:rPr>
      <w:sz w:val="20"/>
      <w:szCs w:val="20"/>
    </w:rPr>
  </w:style>
  <w:style w:type="character" w:styleId="FootnoteReference">
    <w:name w:val="footnote reference"/>
    <w:basedOn w:val="DefaultParagraphFont"/>
    <w:uiPriority w:val="99"/>
    <w:semiHidden/>
    <w:unhideWhenUsed/>
    <w:rsid w:val="00664F42"/>
    <w:rPr>
      <w:vertAlign w:val="superscript"/>
    </w:rPr>
  </w:style>
  <w:style w:type="paragraph" w:styleId="Revision">
    <w:name w:val="Revision"/>
    <w:hidden/>
    <w:uiPriority w:val="99"/>
    <w:semiHidden/>
    <w:rsid w:val="00A70651"/>
    <w:pPr>
      <w:spacing w:after="0" w:line="240" w:lineRule="auto"/>
    </w:pPr>
  </w:style>
  <w:style w:type="character" w:styleId="UnresolvedMention">
    <w:name w:val="Unresolved Mention"/>
    <w:basedOn w:val="DefaultParagraphFont"/>
    <w:uiPriority w:val="99"/>
    <w:semiHidden/>
    <w:unhideWhenUsed/>
    <w:rsid w:val="0094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306254">
      <w:bodyDiv w:val="1"/>
      <w:marLeft w:val="0"/>
      <w:marRight w:val="0"/>
      <w:marTop w:val="0"/>
      <w:marBottom w:val="0"/>
      <w:divBdr>
        <w:top w:val="none" w:sz="0" w:space="0" w:color="auto"/>
        <w:left w:val="none" w:sz="0" w:space="0" w:color="auto"/>
        <w:bottom w:val="none" w:sz="0" w:space="0" w:color="auto"/>
        <w:right w:val="none" w:sz="0" w:space="0" w:color="auto"/>
      </w:divBdr>
    </w:div>
    <w:div w:id="1222132043">
      <w:bodyDiv w:val="1"/>
      <w:marLeft w:val="0"/>
      <w:marRight w:val="0"/>
      <w:marTop w:val="0"/>
      <w:marBottom w:val="0"/>
      <w:divBdr>
        <w:top w:val="none" w:sz="0" w:space="0" w:color="auto"/>
        <w:left w:val="none" w:sz="0" w:space="0" w:color="auto"/>
        <w:bottom w:val="none" w:sz="0" w:space="0" w:color="auto"/>
        <w:right w:val="none" w:sz="0" w:space="0" w:color="auto"/>
      </w:divBdr>
    </w:div>
    <w:div w:id="1364668529">
      <w:bodyDiv w:val="1"/>
      <w:marLeft w:val="0"/>
      <w:marRight w:val="0"/>
      <w:marTop w:val="0"/>
      <w:marBottom w:val="0"/>
      <w:divBdr>
        <w:top w:val="none" w:sz="0" w:space="0" w:color="auto"/>
        <w:left w:val="none" w:sz="0" w:space="0" w:color="auto"/>
        <w:bottom w:val="none" w:sz="0" w:space="0" w:color="auto"/>
        <w:right w:val="none" w:sz="0" w:space="0" w:color="auto"/>
      </w:divBdr>
    </w:div>
    <w:div w:id="1652097423">
      <w:bodyDiv w:val="1"/>
      <w:marLeft w:val="0"/>
      <w:marRight w:val="0"/>
      <w:marTop w:val="0"/>
      <w:marBottom w:val="0"/>
      <w:divBdr>
        <w:top w:val="none" w:sz="0" w:space="0" w:color="auto"/>
        <w:left w:val="none" w:sz="0" w:space="0" w:color="auto"/>
        <w:bottom w:val="none" w:sz="0" w:space="0" w:color="auto"/>
        <w:right w:val="none" w:sz="0" w:space="0" w:color="auto"/>
      </w:divBdr>
    </w:div>
    <w:div w:id="20957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e.data.gov.bc.ca/dataset/bc-wildfire-post-harvest-hazard-abatement-m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waters@quesnelbc.com" TargetMode="External"/><Relationship Id="rId5" Type="http://schemas.openxmlformats.org/officeDocument/2006/relationships/webSettings" Target="webSettings.xml"/><Relationship Id="rId10" Type="http://schemas.openxmlformats.org/officeDocument/2006/relationships/hyperlink" Target="http://www.woodlot.bc.ca" TargetMode="External"/><Relationship Id="rId4" Type="http://schemas.openxmlformats.org/officeDocument/2006/relationships/settings" Target="settings.xml"/><Relationship Id="rId9" Type="http://schemas.openxmlformats.org/officeDocument/2006/relationships/hyperlink" Target="https://www2.gov.bc.ca/assets/gov/public-safety-and-emergency-services/wildfire-status/prevention/fire-fuel-management/hazard-assessment-abatement/bcws_hazard_assessment_abatement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BE6B-D4F9-481B-A12C-1360FF21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4994</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Cathy McClary</cp:lastModifiedBy>
  <cp:revision>2</cp:revision>
  <cp:lastPrinted>2020-06-19T18:04:00Z</cp:lastPrinted>
  <dcterms:created xsi:type="dcterms:W3CDTF">2020-07-15T16:27:00Z</dcterms:created>
  <dcterms:modified xsi:type="dcterms:W3CDTF">2020-07-15T16:27:00Z</dcterms:modified>
</cp:coreProperties>
</file>